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wordWrap w:val="0"/>
        <w:spacing w:before="450" w:beforeAutospacing="0" w:after="828" w:afterAutospacing="0"/>
        <w:ind w:left="0" w:right="0"/>
      </w:pPr>
      <w:r>
        <w:rPr>
          <w:shd w:val="clear" w:fill="FFFFFF"/>
        </w:rPr>
        <w:t>中山市财政局关于20</w:t>
      </w:r>
      <w:r>
        <w:rPr>
          <w:rFonts w:hint="eastAsia"/>
          <w:shd w:val="clear" w:fill="FFFFFF"/>
          <w:lang w:val="en-US" w:eastAsia="zh-CN"/>
        </w:rPr>
        <w:t>21</w:t>
      </w:r>
      <w:r>
        <w:rPr>
          <w:shd w:val="clear" w:fill="FFFFFF"/>
        </w:rPr>
        <w:t>年度</w:t>
      </w:r>
      <w:r>
        <w:rPr>
          <w:rFonts w:hint="eastAsia"/>
          <w:shd w:val="clear" w:fill="FFFFFF"/>
          <w:lang w:eastAsia="zh-CN"/>
        </w:rPr>
        <w:t>“双</w:t>
      </w:r>
      <w:r>
        <w:rPr>
          <w:shd w:val="clear" w:fill="FFFFFF"/>
        </w:rPr>
        <w:t>随机</w:t>
      </w:r>
      <w:r>
        <w:rPr>
          <w:rFonts w:hint="eastAsia"/>
          <w:shd w:val="clear" w:fill="FFFFFF"/>
          <w:lang w:eastAsia="zh-CN"/>
        </w:rPr>
        <w:t>、一公开”</w:t>
      </w:r>
      <w:r>
        <w:rPr>
          <w:shd w:val="clear" w:fill="FFFFFF"/>
        </w:rPr>
        <w:t>抽查事项清单的公告</w:t>
      </w:r>
    </w:p>
    <w:p>
      <w:pPr>
        <w:pStyle w:val="3"/>
        <w:keepNext w:val="0"/>
        <w:keepLines w:val="0"/>
        <w:widowControl/>
        <w:suppressLineNumbers w:val="0"/>
        <w:wordWrap w:val="0"/>
        <w:spacing w:before="450" w:beforeAutospacing="0" w:after="602" w:afterAutospacing="0" w:line="540" w:lineRule="atLeast"/>
        <w:ind w:left="0" w:right="0"/>
        <w:rPr>
          <w:color w:val="424242"/>
        </w:rPr>
      </w:pPr>
      <w:r>
        <w:rPr>
          <w:rFonts w:hint="eastAsia" w:ascii="微软雅黑" w:hAnsi="微软雅黑" w:eastAsia="微软雅黑" w:cs="微软雅黑"/>
          <w:color w:val="424242"/>
          <w:shd w:val="clear" w:fill="FFFFFF"/>
        </w:rPr>
        <w:t>     </w:t>
      </w:r>
      <w:r>
        <w:rPr>
          <w:rFonts w:hint="eastAsia" w:ascii="微软雅黑" w:hAnsi="微软雅黑" w:eastAsia="微软雅黑" w:cs="微软雅黑"/>
          <w:color w:val="424242"/>
          <w:sz w:val="27"/>
          <w:szCs w:val="27"/>
          <w:shd w:val="clear" w:fill="FFFFFF"/>
        </w:rPr>
        <w:t>  为进一步做好20</w:t>
      </w:r>
      <w:r>
        <w:rPr>
          <w:rFonts w:hint="eastAsia" w:ascii="微软雅黑" w:hAnsi="微软雅黑" w:eastAsia="微软雅黑" w:cs="微软雅黑"/>
          <w:color w:val="424242"/>
          <w:sz w:val="27"/>
          <w:szCs w:val="27"/>
          <w:shd w:val="clear" w:fill="FFFFFF"/>
          <w:lang w:val="en-US" w:eastAsia="zh-CN"/>
        </w:rPr>
        <w:t>21</w:t>
      </w:r>
      <w:r>
        <w:rPr>
          <w:rFonts w:hint="eastAsia" w:ascii="微软雅黑" w:hAnsi="微软雅黑" w:eastAsia="微软雅黑" w:cs="微软雅黑"/>
          <w:color w:val="424242"/>
          <w:sz w:val="27"/>
          <w:szCs w:val="27"/>
          <w:shd w:val="clear" w:fill="FFFFFF"/>
        </w:rPr>
        <w:t>年度“双随机</w:t>
      </w:r>
      <w:r>
        <w:rPr>
          <w:rFonts w:hint="eastAsia" w:ascii="微软雅黑" w:hAnsi="微软雅黑" w:eastAsia="微软雅黑" w:cs="微软雅黑"/>
          <w:color w:val="424242"/>
          <w:sz w:val="27"/>
          <w:szCs w:val="27"/>
          <w:shd w:val="clear" w:fill="FFFFFF"/>
          <w:lang w:eastAsia="zh-CN"/>
        </w:rPr>
        <w:t>、</w:t>
      </w:r>
      <w:r>
        <w:rPr>
          <w:rFonts w:hint="eastAsia" w:ascii="微软雅黑" w:hAnsi="微软雅黑" w:eastAsia="微软雅黑" w:cs="微软雅黑"/>
          <w:color w:val="424242"/>
          <w:sz w:val="27"/>
          <w:szCs w:val="27"/>
          <w:shd w:val="clear" w:fill="FFFFFF"/>
        </w:rPr>
        <w:t>一公开”工作，根据中山市财政局随机抽查工作细则，现将中山市财政局20</w:t>
      </w:r>
      <w:r>
        <w:rPr>
          <w:rFonts w:hint="eastAsia" w:ascii="微软雅黑" w:hAnsi="微软雅黑" w:eastAsia="微软雅黑" w:cs="微软雅黑"/>
          <w:color w:val="424242"/>
          <w:sz w:val="27"/>
          <w:szCs w:val="27"/>
          <w:shd w:val="clear" w:fill="FFFFFF"/>
          <w:lang w:val="en-US" w:eastAsia="zh-CN"/>
        </w:rPr>
        <w:t>21</w:t>
      </w:r>
      <w:r>
        <w:rPr>
          <w:rFonts w:hint="eastAsia" w:ascii="微软雅黑" w:hAnsi="微软雅黑" w:eastAsia="微软雅黑" w:cs="微软雅黑"/>
          <w:color w:val="424242"/>
          <w:sz w:val="27"/>
          <w:szCs w:val="27"/>
          <w:shd w:val="clear" w:fill="FFFFFF"/>
        </w:rPr>
        <w:t>年度</w:t>
      </w:r>
      <w:r>
        <w:rPr>
          <w:rFonts w:hint="eastAsia" w:ascii="微软雅黑" w:hAnsi="微软雅黑" w:eastAsia="微软雅黑" w:cs="微软雅黑"/>
          <w:color w:val="424242"/>
          <w:sz w:val="27"/>
          <w:szCs w:val="27"/>
          <w:shd w:val="clear" w:fill="FFFFFF"/>
          <w:lang w:eastAsia="zh-CN"/>
        </w:rPr>
        <w:t>“双</w:t>
      </w:r>
      <w:r>
        <w:rPr>
          <w:rFonts w:hint="eastAsia" w:ascii="微软雅黑" w:hAnsi="微软雅黑" w:eastAsia="微软雅黑" w:cs="微软雅黑"/>
          <w:color w:val="424242"/>
          <w:sz w:val="27"/>
          <w:szCs w:val="27"/>
          <w:shd w:val="clear" w:fill="FFFFFF"/>
        </w:rPr>
        <w:t>随机</w:t>
      </w:r>
      <w:r>
        <w:rPr>
          <w:rFonts w:hint="eastAsia" w:ascii="微软雅黑" w:hAnsi="微软雅黑" w:eastAsia="微软雅黑" w:cs="微软雅黑"/>
          <w:color w:val="424242"/>
          <w:sz w:val="27"/>
          <w:szCs w:val="27"/>
          <w:shd w:val="clear" w:fill="FFFFFF"/>
          <w:lang w:eastAsia="zh-CN"/>
        </w:rPr>
        <w:t>、一公开”</w:t>
      </w:r>
      <w:r>
        <w:rPr>
          <w:rFonts w:hint="eastAsia" w:ascii="微软雅黑" w:hAnsi="微软雅黑" w:eastAsia="微软雅黑" w:cs="微软雅黑"/>
          <w:color w:val="424242"/>
          <w:sz w:val="27"/>
          <w:szCs w:val="27"/>
          <w:shd w:val="clear" w:fill="FFFFFF"/>
        </w:rPr>
        <w:t>抽查工作事项清单公布如下：</w:t>
      </w:r>
    </w:p>
    <w:p>
      <w:pPr>
        <w:pStyle w:val="3"/>
        <w:keepNext w:val="0"/>
        <w:keepLines w:val="0"/>
        <w:widowControl/>
        <w:suppressLineNumbers w:val="0"/>
        <w:wordWrap w:val="0"/>
        <w:spacing w:before="450" w:beforeAutospacing="0" w:after="602" w:afterAutospacing="0" w:line="540" w:lineRule="atLeast"/>
        <w:ind w:left="0" w:right="0"/>
        <w:rPr>
          <w:color w:val="424242"/>
        </w:rPr>
      </w:pPr>
      <w:r>
        <w:rPr>
          <w:rFonts w:hint="eastAsia" w:ascii="微软雅黑" w:hAnsi="微软雅黑" w:eastAsia="微软雅黑" w:cs="微软雅黑"/>
          <w:color w:val="424242"/>
          <w:sz w:val="27"/>
          <w:szCs w:val="27"/>
          <w:shd w:val="clear" w:fill="FFFFFF"/>
        </w:rPr>
        <w:t>       附：《中山市财政局20</w:t>
      </w:r>
      <w:r>
        <w:rPr>
          <w:rFonts w:hint="eastAsia" w:ascii="微软雅黑" w:hAnsi="微软雅黑" w:eastAsia="微软雅黑" w:cs="微软雅黑"/>
          <w:color w:val="424242"/>
          <w:sz w:val="27"/>
          <w:szCs w:val="27"/>
          <w:shd w:val="clear" w:fill="FFFFFF"/>
          <w:lang w:val="en-US" w:eastAsia="zh-CN"/>
        </w:rPr>
        <w:t>21</w:t>
      </w:r>
      <w:r>
        <w:rPr>
          <w:rFonts w:hint="eastAsia" w:ascii="微软雅黑" w:hAnsi="微软雅黑" w:eastAsia="微软雅黑" w:cs="微软雅黑"/>
          <w:color w:val="424242"/>
          <w:sz w:val="27"/>
          <w:szCs w:val="27"/>
          <w:shd w:val="clear" w:fill="FFFFFF"/>
        </w:rPr>
        <w:t>年度随机抽查事项清单》</w:t>
      </w:r>
    </w:p>
    <w:p>
      <w:pPr>
        <w:pStyle w:val="3"/>
        <w:keepNext w:val="0"/>
        <w:keepLines w:val="0"/>
        <w:widowControl/>
        <w:suppressLineNumbers w:val="0"/>
        <w:wordWrap w:val="0"/>
        <w:spacing w:before="450" w:beforeAutospacing="0" w:after="602" w:afterAutospacing="0" w:line="540" w:lineRule="atLeast"/>
        <w:ind w:left="0" w:right="0"/>
        <w:rPr>
          <w:color w:val="424242"/>
        </w:rPr>
      </w:pPr>
      <w:r>
        <w:rPr>
          <w:rFonts w:hint="eastAsia" w:ascii="微软雅黑" w:hAnsi="微软雅黑" w:eastAsia="微软雅黑" w:cs="微软雅黑"/>
          <w:color w:val="424242"/>
          <w:shd w:val="clear" w:fill="FFFFFF"/>
        </w:rPr>
        <w:t> </w:t>
      </w:r>
    </w:p>
    <w:p>
      <w:pPr>
        <w:pStyle w:val="3"/>
        <w:keepNext w:val="0"/>
        <w:keepLines w:val="0"/>
        <w:widowControl/>
        <w:suppressLineNumbers w:val="0"/>
        <w:wordWrap w:val="0"/>
        <w:spacing w:before="450" w:beforeAutospacing="0" w:after="602" w:afterAutospacing="0" w:line="540" w:lineRule="atLeast"/>
        <w:ind w:left="0" w:right="0"/>
        <w:rPr>
          <w:color w:val="424242"/>
        </w:rPr>
      </w:pPr>
      <w:r>
        <w:rPr>
          <w:rFonts w:hint="eastAsia" w:ascii="微软雅黑" w:hAnsi="微软雅黑" w:eastAsia="微软雅黑" w:cs="微软雅黑"/>
          <w:color w:val="424242"/>
          <w:shd w:val="clear" w:fill="FFFFFF"/>
        </w:rPr>
        <w:t> </w:t>
      </w:r>
    </w:p>
    <w:p>
      <w:pPr>
        <w:pStyle w:val="3"/>
        <w:keepNext w:val="0"/>
        <w:keepLines w:val="0"/>
        <w:widowControl/>
        <w:suppressLineNumbers w:val="0"/>
        <w:wordWrap w:val="0"/>
        <w:spacing w:before="450" w:beforeAutospacing="0" w:after="602" w:afterAutospacing="0" w:line="540" w:lineRule="atLeast"/>
        <w:ind w:left="0" w:right="0"/>
        <w:jc w:val="center"/>
        <w:rPr>
          <w:color w:val="424242"/>
        </w:rPr>
      </w:pPr>
      <w:r>
        <w:rPr>
          <w:rFonts w:hint="eastAsia" w:ascii="微软雅黑" w:hAnsi="微软雅黑" w:eastAsia="微软雅黑" w:cs="微软雅黑"/>
          <w:color w:val="424242"/>
          <w:sz w:val="27"/>
          <w:szCs w:val="27"/>
          <w:shd w:val="clear" w:fill="FFFFFF"/>
          <w:lang w:val="en-US" w:eastAsia="zh-CN"/>
        </w:rPr>
        <w:t xml:space="preserve">                        </w:t>
      </w:r>
      <w:r>
        <w:rPr>
          <w:rFonts w:hint="eastAsia" w:ascii="微软雅黑" w:hAnsi="微软雅黑" w:eastAsia="微软雅黑" w:cs="微软雅黑"/>
          <w:color w:val="424242"/>
          <w:sz w:val="27"/>
          <w:szCs w:val="27"/>
          <w:shd w:val="clear" w:fill="FFFFFF"/>
        </w:rPr>
        <w:t>中山市财政局</w:t>
      </w:r>
    </w:p>
    <w:p>
      <w:pPr>
        <w:pStyle w:val="3"/>
        <w:keepNext w:val="0"/>
        <w:keepLines w:val="0"/>
        <w:widowControl/>
        <w:suppressLineNumbers w:val="0"/>
        <w:wordWrap w:val="0"/>
        <w:spacing w:before="450" w:beforeAutospacing="0" w:after="602" w:afterAutospacing="0" w:line="540" w:lineRule="atLeast"/>
        <w:ind w:left="0" w:right="0"/>
        <w:jc w:val="center"/>
        <w:rPr>
          <w:color w:val="424242"/>
        </w:rPr>
      </w:pPr>
      <w:r>
        <w:rPr>
          <w:rFonts w:hint="eastAsia" w:ascii="微软雅黑" w:hAnsi="微软雅黑" w:eastAsia="微软雅黑" w:cs="微软雅黑"/>
          <w:color w:val="424242"/>
          <w:sz w:val="27"/>
          <w:szCs w:val="27"/>
          <w:shd w:val="clear" w:fill="FFFFFF"/>
          <w:lang w:val="en-US" w:eastAsia="zh-CN"/>
        </w:rPr>
        <w:t xml:space="preserve">                        </w:t>
      </w:r>
      <w:r>
        <w:rPr>
          <w:rFonts w:hint="eastAsia" w:ascii="微软雅黑" w:hAnsi="微软雅黑" w:eastAsia="微软雅黑" w:cs="微软雅黑"/>
          <w:color w:val="424242"/>
          <w:sz w:val="27"/>
          <w:szCs w:val="27"/>
          <w:shd w:val="clear" w:fill="FFFFFF"/>
        </w:rPr>
        <w:t>20</w:t>
      </w:r>
      <w:r>
        <w:rPr>
          <w:rFonts w:hint="eastAsia" w:ascii="微软雅黑" w:hAnsi="微软雅黑" w:eastAsia="微软雅黑" w:cs="微软雅黑"/>
          <w:color w:val="424242"/>
          <w:sz w:val="27"/>
          <w:szCs w:val="27"/>
          <w:shd w:val="clear" w:fill="FFFFFF"/>
          <w:lang w:val="en-US" w:eastAsia="zh-CN"/>
        </w:rPr>
        <w:t>21</w:t>
      </w:r>
      <w:r>
        <w:rPr>
          <w:rFonts w:hint="eastAsia" w:ascii="微软雅黑" w:hAnsi="微软雅黑" w:eastAsia="微软雅黑" w:cs="微软雅黑"/>
          <w:color w:val="424242"/>
          <w:sz w:val="27"/>
          <w:szCs w:val="27"/>
          <w:shd w:val="clear" w:fill="FFFFFF"/>
        </w:rPr>
        <w:t>年</w:t>
      </w:r>
      <w:r>
        <w:rPr>
          <w:rFonts w:hint="eastAsia" w:ascii="微软雅黑" w:hAnsi="微软雅黑" w:eastAsia="微软雅黑" w:cs="微软雅黑"/>
          <w:color w:val="424242"/>
          <w:sz w:val="27"/>
          <w:szCs w:val="27"/>
          <w:shd w:val="clear" w:fill="FFFFFF"/>
          <w:lang w:val="en-US" w:eastAsia="zh-CN"/>
        </w:rPr>
        <w:t>7</w:t>
      </w:r>
      <w:r>
        <w:rPr>
          <w:rFonts w:hint="eastAsia" w:ascii="微软雅黑" w:hAnsi="微软雅黑" w:eastAsia="微软雅黑" w:cs="微软雅黑"/>
          <w:color w:val="424242"/>
          <w:sz w:val="27"/>
          <w:szCs w:val="27"/>
          <w:shd w:val="clear" w:fill="FFFFFF"/>
        </w:rPr>
        <w:t>月</w:t>
      </w:r>
      <w:r>
        <w:rPr>
          <w:rFonts w:hint="eastAsia" w:ascii="微软雅黑" w:hAnsi="微软雅黑" w:eastAsia="微软雅黑" w:cs="微软雅黑"/>
          <w:color w:val="424242"/>
          <w:sz w:val="27"/>
          <w:szCs w:val="27"/>
          <w:shd w:val="clear" w:fill="FFFFFF"/>
          <w:lang w:val="en-US" w:eastAsia="zh-CN"/>
        </w:rPr>
        <w:t>5</w:t>
      </w:r>
      <w:r>
        <w:rPr>
          <w:rFonts w:hint="eastAsia" w:ascii="微软雅黑" w:hAnsi="微软雅黑" w:eastAsia="微软雅黑" w:cs="微软雅黑"/>
          <w:color w:val="424242"/>
          <w:sz w:val="27"/>
          <w:szCs w:val="27"/>
          <w:shd w:val="clear" w:fill="FFFFFF"/>
        </w:rPr>
        <w:t>日</w:t>
      </w:r>
    </w:p>
    <w:tbl>
      <w:tblPr>
        <w:tblStyle w:val="4"/>
        <w:tblW w:w="99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15"/>
        <w:gridCol w:w="1395"/>
        <w:gridCol w:w="1485"/>
        <w:gridCol w:w="1560"/>
        <w:gridCol w:w="2849"/>
        <w:gridCol w:w="17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75" w:hRule="atLeast"/>
        </w:trPr>
        <w:tc>
          <w:tcPr>
            <w:tcW w:w="9975" w:type="dxa"/>
            <w:gridSpan w:val="6"/>
            <w:tcBorders>
              <w:bottom w:val="single" w:color="000000" w:sz="4" w:space="0"/>
            </w:tcBorders>
            <w:shd w:val="clear" w:color="auto" w:fill="auto"/>
            <w:tcMar>
              <w:top w:w="75" w:type="dxa"/>
              <w:left w:w="150" w:type="dxa"/>
              <w:bottom w:w="75" w:type="dxa"/>
              <w:right w:w="150" w:type="dxa"/>
            </w:tcMar>
            <w:vAlign w:val="center"/>
          </w:tcPr>
          <w:p>
            <w:pPr>
              <w:pStyle w:val="3"/>
              <w:keepNext w:val="0"/>
              <w:keepLines w:val="0"/>
              <w:widowControl/>
              <w:suppressLineNumbers w:val="0"/>
              <w:spacing w:before="0" w:beforeAutospacing="0" w:after="0" w:afterAutospacing="0" w:line="360" w:lineRule="atLeast"/>
              <w:ind w:left="0" w:right="0"/>
              <w:jc w:val="center"/>
              <w:rPr>
                <w:color w:val="424242"/>
              </w:rPr>
            </w:pPr>
            <w:r>
              <w:rPr>
                <w:rFonts w:hint="eastAsia" w:ascii="微软雅黑" w:hAnsi="微软雅黑" w:eastAsia="微软雅黑" w:cs="微软雅黑"/>
                <w:i w:val="0"/>
                <w:iCs w:val="0"/>
                <w:color w:val="424242"/>
                <w:sz w:val="44"/>
                <w:szCs w:val="44"/>
                <w:u w:val="none"/>
              </w:rPr>
              <w:t xml:space="preserve">        </w:t>
            </w:r>
          </w:p>
          <w:p>
            <w:pPr>
              <w:pStyle w:val="3"/>
              <w:keepNext w:val="0"/>
              <w:keepLines w:val="0"/>
              <w:widowControl/>
              <w:suppressLineNumbers w:val="0"/>
              <w:spacing w:before="0" w:beforeAutospacing="0" w:after="0" w:afterAutospacing="0" w:line="360" w:lineRule="atLeast"/>
              <w:ind w:left="0" w:right="0"/>
              <w:jc w:val="center"/>
              <w:rPr>
                <w:color w:val="424242"/>
              </w:rPr>
            </w:pPr>
            <w:r>
              <w:rPr>
                <w:rFonts w:hint="eastAsia" w:ascii="微软雅黑" w:hAnsi="微软雅黑" w:eastAsia="微软雅黑" w:cs="微软雅黑"/>
                <w:i w:val="0"/>
                <w:iCs w:val="0"/>
                <w:color w:val="424242"/>
                <w:sz w:val="44"/>
                <w:szCs w:val="44"/>
                <w:u w:val="none"/>
              </w:rPr>
              <w:t> </w:t>
            </w:r>
          </w:p>
          <w:p>
            <w:pPr>
              <w:pStyle w:val="3"/>
              <w:keepNext w:val="0"/>
              <w:keepLines w:val="0"/>
              <w:widowControl/>
              <w:suppressLineNumbers w:val="0"/>
              <w:spacing w:before="0" w:beforeAutospacing="0" w:after="0" w:afterAutospacing="0" w:line="360" w:lineRule="atLeast"/>
              <w:ind w:left="0" w:right="0"/>
              <w:jc w:val="center"/>
              <w:rPr>
                <w:rStyle w:val="6"/>
                <w:rFonts w:hint="eastAsia" w:ascii="微软雅黑" w:hAnsi="微软雅黑" w:eastAsia="微软雅黑" w:cs="微软雅黑"/>
                <w:i w:val="0"/>
                <w:iCs w:val="0"/>
                <w:color w:val="424242"/>
                <w:sz w:val="36"/>
                <w:szCs w:val="36"/>
                <w:u w:val="none"/>
              </w:rPr>
            </w:pPr>
          </w:p>
          <w:p>
            <w:pPr>
              <w:pStyle w:val="3"/>
              <w:keepNext w:val="0"/>
              <w:keepLines w:val="0"/>
              <w:widowControl/>
              <w:suppressLineNumbers w:val="0"/>
              <w:spacing w:before="0" w:beforeAutospacing="0" w:after="0" w:afterAutospacing="0" w:line="360" w:lineRule="atLeast"/>
              <w:ind w:left="0" w:right="0"/>
              <w:jc w:val="center"/>
              <w:rPr>
                <w:rStyle w:val="6"/>
                <w:rFonts w:hint="eastAsia" w:ascii="微软雅黑" w:hAnsi="微软雅黑" w:eastAsia="微软雅黑" w:cs="微软雅黑"/>
                <w:i w:val="0"/>
                <w:iCs w:val="0"/>
                <w:color w:val="424242"/>
                <w:sz w:val="36"/>
                <w:szCs w:val="36"/>
                <w:u w:val="none"/>
                <w:lang w:eastAsia="zh-CN"/>
              </w:rPr>
            </w:pPr>
          </w:p>
          <w:p>
            <w:pPr>
              <w:pStyle w:val="3"/>
              <w:keepNext w:val="0"/>
              <w:keepLines w:val="0"/>
              <w:widowControl/>
              <w:suppressLineNumbers w:val="0"/>
              <w:spacing w:before="0" w:beforeAutospacing="0" w:after="0" w:afterAutospacing="0" w:line="360" w:lineRule="atLeast"/>
              <w:ind w:left="0" w:right="0"/>
              <w:jc w:val="center"/>
              <w:rPr>
                <w:rStyle w:val="6"/>
                <w:rFonts w:hint="eastAsia" w:ascii="微软雅黑" w:hAnsi="微软雅黑" w:eastAsia="微软雅黑" w:cs="微软雅黑"/>
                <w:i w:val="0"/>
                <w:iCs w:val="0"/>
                <w:color w:val="424242"/>
                <w:sz w:val="36"/>
                <w:szCs w:val="36"/>
                <w:u w:val="none"/>
                <w:lang w:eastAsia="zh-CN"/>
              </w:rPr>
            </w:pPr>
          </w:p>
          <w:p>
            <w:pPr>
              <w:pStyle w:val="3"/>
              <w:keepNext w:val="0"/>
              <w:keepLines w:val="0"/>
              <w:widowControl/>
              <w:suppressLineNumbers w:val="0"/>
              <w:spacing w:before="0" w:beforeAutospacing="0" w:after="0" w:afterAutospacing="0" w:line="360" w:lineRule="atLeast"/>
              <w:ind w:left="0" w:right="0"/>
              <w:jc w:val="center"/>
              <w:rPr>
                <w:color w:val="424242"/>
              </w:rPr>
            </w:pPr>
            <w:r>
              <w:rPr>
                <w:rStyle w:val="6"/>
                <w:rFonts w:hint="eastAsia" w:ascii="微软雅黑" w:hAnsi="微软雅黑" w:eastAsia="微软雅黑" w:cs="微软雅黑"/>
                <w:i w:val="0"/>
                <w:iCs w:val="0"/>
                <w:color w:val="424242"/>
                <w:sz w:val="36"/>
                <w:szCs w:val="36"/>
                <w:u w:val="none"/>
                <w:lang w:eastAsia="zh-CN"/>
              </w:rPr>
              <w:t>中</w:t>
            </w:r>
            <w:r>
              <w:rPr>
                <w:rStyle w:val="6"/>
                <w:rFonts w:hint="eastAsia" w:ascii="微软雅黑" w:hAnsi="微软雅黑" w:eastAsia="微软雅黑" w:cs="微软雅黑"/>
                <w:i w:val="0"/>
                <w:iCs w:val="0"/>
                <w:color w:val="424242"/>
                <w:sz w:val="36"/>
                <w:szCs w:val="36"/>
                <w:u w:val="none"/>
              </w:rPr>
              <w:t>山市财政局</w:t>
            </w:r>
            <w:r>
              <w:rPr>
                <w:rStyle w:val="6"/>
                <w:rFonts w:hint="eastAsia" w:ascii="微软雅黑" w:hAnsi="微软雅黑" w:eastAsia="微软雅黑" w:cs="微软雅黑"/>
                <w:i w:val="0"/>
                <w:iCs w:val="0"/>
                <w:color w:val="424242"/>
                <w:sz w:val="36"/>
                <w:szCs w:val="36"/>
                <w:u w:val="none"/>
                <w:lang w:val="en-US" w:eastAsia="zh-CN"/>
              </w:rPr>
              <w:t>2021年度“双</w:t>
            </w:r>
            <w:r>
              <w:rPr>
                <w:rStyle w:val="6"/>
                <w:rFonts w:hint="eastAsia" w:ascii="微软雅黑" w:hAnsi="微软雅黑" w:eastAsia="微软雅黑" w:cs="微软雅黑"/>
                <w:i w:val="0"/>
                <w:iCs w:val="0"/>
                <w:color w:val="424242"/>
                <w:sz w:val="36"/>
                <w:szCs w:val="36"/>
                <w:u w:val="none"/>
              </w:rPr>
              <w:t>随机</w:t>
            </w:r>
            <w:r>
              <w:rPr>
                <w:rStyle w:val="6"/>
                <w:rFonts w:hint="eastAsia" w:ascii="微软雅黑" w:hAnsi="微软雅黑" w:eastAsia="微软雅黑" w:cs="微软雅黑"/>
                <w:i w:val="0"/>
                <w:iCs w:val="0"/>
                <w:color w:val="424242"/>
                <w:sz w:val="36"/>
                <w:szCs w:val="36"/>
                <w:u w:val="none"/>
                <w:lang w:eastAsia="zh-CN"/>
              </w:rPr>
              <w:t>、一公开”</w:t>
            </w:r>
            <w:r>
              <w:rPr>
                <w:rStyle w:val="6"/>
                <w:rFonts w:hint="eastAsia" w:ascii="微软雅黑" w:hAnsi="微软雅黑" w:eastAsia="微软雅黑" w:cs="微软雅黑"/>
                <w:i w:val="0"/>
                <w:iCs w:val="0"/>
                <w:color w:val="424242"/>
                <w:sz w:val="36"/>
                <w:szCs w:val="36"/>
                <w:u w:val="none"/>
              </w:rPr>
              <w:t>抽查事项清单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95"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75" w:type="dxa"/>
              <w:left w:w="150" w:type="dxa"/>
              <w:bottom w:w="75" w:type="dxa"/>
              <w:right w:w="150"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序号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75" w:type="dxa"/>
              <w:left w:w="150" w:type="dxa"/>
              <w:bottom w:w="75" w:type="dxa"/>
              <w:right w:w="150"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抽查事项</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75" w:type="dxa"/>
              <w:left w:w="150" w:type="dxa"/>
              <w:bottom w:w="75" w:type="dxa"/>
              <w:right w:w="150"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被抽查主体</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75" w:type="dxa"/>
              <w:left w:w="150" w:type="dxa"/>
              <w:bottom w:w="75" w:type="dxa"/>
              <w:right w:w="150"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抽查内容</w:t>
            </w:r>
          </w:p>
        </w:tc>
        <w:tc>
          <w:tcPr>
            <w:tcW w:w="2849" w:type="dxa"/>
            <w:tcBorders>
              <w:top w:val="single" w:color="000000" w:sz="4" w:space="0"/>
              <w:left w:val="single" w:color="000000" w:sz="4" w:space="0"/>
              <w:bottom w:val="single" w:color="000000" w:sz="4" w:space="0"/>
              <w:right w:val="single" w:color="000000" w:sz="4" w:space="0"/>
            </w:tcBorders>
            <w:shd w:val="clear" w:color="auto" w:fill="auto"/>
            <w:tcMar>
              <w:top w:w="75" w:type="dxa"/>
              <w:left w:w="150" w:type="dxa"/>
              <w:bottom w:w="75" w:type="dxa"/>
              <w:right w:w="150"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24"/>
                <w:szCs w:val="24"/>
                <w:u w:val="none"/>
              </w:rPr>
            </w:pPr>
            <w:bookmarkStart w:id="0" w:name="_GoBack"/>
            <w:bookmarkEnd w:id="0"/>
            <w:r>
              <w:rPr>
                <w:rFonts w:hint="eastAsia" w:ascii="微软雅黑" w:hAnsi="微软雅黑" w:eastAsia="微软雅黑" w:cs="微软雅黑"/>
                <w:b/>
                <w:bCs/>
                <w:i w:val="0"/>
                <w:iCs w:val="0"/>
                <w:color w:val="000000"/>
                <w:kern w:val="0"/>
                <w:sz w:val="24"/>
                <w:szCs w:val="24"/>
                <w:u w:val="none"/>
                <w:lang w:val="en-US" w:eastAsia="zh-CN" w:bidi="ar"/>
              </w:rPr>
              <w:t>抽查依据</w:t>
            </w:r>
          </w:p>
        </w:tc>
        <w:tc>
          <w:tcPr>
            <w:tcW w:w="1771" w:type="dxa"/>
            <w:tcBorders>
              <w:top w:val="single" w:color="000000" w:sz="4" w:space="0"/>
              <w:left w:val="single" w:color="000000" w:sz="4" w:space="0"/>
              <w:bottom w:val="single" w:color="000000" w:sz="4" w:space="0"/>
              <w:right w:val="single" w:color="000000" w:sz="4" w:space="0"/>
            </w:tcBorders>
            <w:shd w:val="clear" w:color="auto" w:fill="auto"/>
            <w:tcMar>
              <w:top w:w="75" w:type="dxa"/>
              <w:left w:w="150" w:type="dxa"/>
              <w:bottom w:w="75" w:type="dxa"/>
              <w:right w:w="150"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抽查方式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191" w:hRule="atLeast"/>
        </w:trPr>
        <w:tc>
          <w:tcPr>
            <w:tcW w:w="915" w:type="dxa"/>
            <w:tcBorders>
              <w:left w:val="single" w:color="000000" w:sz="4" w:space="0"/>
              <w:bottom w:val="single" w:color="000000" w:sz="4" w:space="0"/>
              <w:right w:val="single" w:color="000000" w:sz="4" w:space="0"/>
            </w:tcBorders>
            <w:shd w:val="clear" w:color="auto" w:fill="auto"/>
            <w:tcMar>
              <w:top w:w="75" w:type="dxa"/>
              <w:left w:w="150" w:type="dxa"/>
              <w:bottom w:w="75" w:type="dxa"/>
              <w:right w:w="150"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75" w:type="dxa"/>
              <w:left w:w="150" w:type="dxa"/>
              <w:bottom w:w="75" w:type="dxa"/>
              <w:right w:w="150"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代理记账机构监督检查</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75" w:type="dxa"/>
              <w:left w:w="150" w:type="dxa"/>
              <w:bottom w:w="75" w:type="dxa"/>
              <w:right w:w="150"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代理记账机构</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75" w:type="dxa"/>
              <w:left w:w="150" w:type="dxa"/>
              <w:bottom w:w="75" w:type="dxa"/>
              <w:right w:w="150"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代理记账机构及其从事代理记账业务情况</w:t>
            </w:r>
          </w:p>
        </w:tc>
        <w:tc>
          <w:tcPr>
            <w:tcW w:w="2849" w:type="dxa"/>
            <w:tcBorders>
              <w:top w:val="single" w:color="000000" w:sz="4" w:space="0"/>
              <w:left w:val="single" w:color="000000" w:sz="4" w:space="0"/>
              <w:bottom w:val="single" w:color="000000" w:sz="4" w:space="0"/>
              <w:right w:val="single" w:color="000000" w:sz="4" w:space="0"/>
            </w:tcBorders>
            <w:shd w:val="clear" w:color="auto" w:fill="auto"/>
            <w:tcMar>
              <w:top w:w="75" w:type="dxa"/>
              <w:left w:w="150" w:type="dxa"/>
              <w:bottom w:w="75" w:type="dxa"/>
              <w:right w:w="150"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《代理记账管理办法》第十七条：“县级以上人民政府财政部门对代理记账机构及其从事代理记账业务情况实施监督检查。”</w:t>
            </w:r>
          </w:p>
        </w:tc>
        <w:tc>
          <w:tcPr>
            <w:tcW w:w="1771" w:type="dxa"/>
            <w:tcBorders>
              <w:top w:val="single" w:color="000000" w:sz="4" w:space="0"/>
              <w:left w:val="single" w:color="000000" w:sz="4" w:space="0"/>
              <w:bottom w:val="single" w:color="000000" w:sz="4" w:space="0"/>
              <w:right w:val="single" w:color="000000" w:sz="4" w:space="0"/>
            </w:tcBorders>
            <w:shd w:val="clear" w:color="auto" w:fill="auto"/>
            <w:tcMar>
              <w:top w:w="75" w:type="dxa"/>
              <w:left w:w="150" w:type="dxa"/>
              <w:bottom w:w="75" w:type="dxa"/>
              <w:right w:w="150"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实地核查；定向随机抽查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680093"/>
    <w:rsid w:val="09234877"/>
    <w:rsid w:val="100E2815"/>
    <w:rsid w:val="186C61EA"/>
    <w:rsid w:val="37877B19"/>
    <w:rsid w:val="50276551"/>
    <w:rsid w:val="53680093"/>
    <w:rsid w:val="56FE070C"/>
    <w:rsid w:val="6330318C"/>
    <w:rsid w:val="63F9784F"/>
    <w:rsid w:val="68E8199D"/>
    <w:rsid w:val="756113F2"/>
    <w:rsid w:val="7748708B"/>
    <w:rsid w:val="7D3701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qFormat/>
    <w:uiPriority w:val="0"/>
    <w:rPr>
      <w:color w:val="333333"/>
      <w:u w:val="none"/>
    </w:rPr>
  </w:style>
  <w:style w:type="character" w:styleId="8">
    <w:name w:val="Hyperlink"/>
    <w:basedOn w:val="5"/>
    <w:qFormat/>
    <w:uiPriority w:val="0"/>
    <w:rPr>
      <w:color w:val="333333"/>
      <w:u w:val="none"/>
    </w:rPr>
  </w:style>
  <w:style w:type="character" w:styleId="9">
    <w:name w:val="HTML Code"/>
    <w:basedOn w:val="5"/>
    <w:qFormat/>
    <w:uiPriority w:val="0"/>
    <w:rPr>
      <w:rFonts w:ascii="Courier New" w:hAnsi="Courier New"/>
      <w:sz w:val="20"/>
    </w:rPr>
  </w:style>
  <w:style w:type="character" w:customStyle="1" w:styleId="10">
    <w:name w:val="calendar-head__next-year-btn"/>
    <w:basedOn w:val="5"/>
    <w:qFormat/>
    <w:uiPriority w:val="0"/>
  </w:style>
  <w:style w:type="character" w:customStyle="1" w:styleId="11">
    <w:name w:val="calendar-head__year-range"/>
    <w:basedOn w:val="5"/>
    <w:qFormat/>
    <w:uiPriority w:val="0"/>
    <w:rPr>
      <w:vanish/>
    </w:rPr>
  </w:style>
  <w:style w:type="character" w:customStyle="1" w:styleId="12">
    <w:name w:val="calendar-head__text-display"/>
    <w:basedOn w:val="5"/>
    <w:qFormat/>
    <w:uiPriority w:val="0"/>
    <w:rPr>
      <w:vanish/>
    </w:rPr>
  </w:style>
  <w:style w:type="character" w:customStyle="1" w:styleId="13">
    <w:name w:val="calendar-head__next-month-btn"/>
    <w:basedOn w:val="5"/>
    <w:qFormat/>
    <w:uiPriority w:val="0"/>
  </w:style>
  <w:style w:type="character" w:customStyle="1" w:styleId="14">
    <w:name w:val="active4"/>
    <w:basedOn w:val="5"/>
    <w:qFormat/>
    <w:uiPriority w:val="0"/>
    <w:rPr>
      <w:color w:val="333333"/>
    </w:rPr>
  </w:style>
  <w:style w:type="character" w:customStyle="1" w:styleId="15">
    <w:name w:val="hover2"/>
    <w:basedOn w:val="5"/>
    <w:qFormat/>
    <w:uiPriority w:val="0"/>
    <w:rPr>
      <w:color w:val="2F6EA2"/>
    </w:rPr>
  </w:style>
  <w:style w:type="character" w:customStyle="1" w:styleId="16">
    <w:name w:val="calendar-head__prev-range-btn"/>
    <w:basedOn w:val="5"/>
    <w:qFormat/>
    <w:uiPriority w:val="0"/>
    <w:rPr>
      <w:vanish/>
    </w:rPr>
  </w:style>
  <w:style w:type="character" w:customStyle="1" w:styleId="17">
    <w:name w:val="calendar-head__next-range-btn"/>
    <w:basedOn w:val="5"/>
    <w:qFormat/>
    <w:uiPriority w:val="0"/>
    <w:rPr>
      <w:vanish/>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2021-07-08T04:52:00Z</dcterms:created>
  <dc:creator>Administrator</dc:creator>
  <cp:lastModifiedBy>阿君</cp:lastModifiedBy>
  <cp:lastPrinted>2021-07-09T08:23:00Z</cp:lastPrinted>
  <dcterms:modified xsi:type="dcterms:W3CDTF">2021-07-13T08:25:15Z</dcterms:modified>
  <dc:title>中山市财政局关于2021年度“双随机一公开”抽查事项清单的公告</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y fmtid="{D5CDD505-2E9C-101B-9397-08002B2CF9AE}" pid="3" name="ICV">
    <vt:lpwstr>9CA7DDD2A2EF47FBB6451762A218E8FC</vt:lpwstr>
  </property>
</Properties>
</file>