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2" w:name="_GoBack"/>
      <w:bookmarkEnd w:id="2"/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</w:p>
    <w:p>
      <w:pPr>
        <w:jc w:val="center"/>
        <w:rPr>
          <w:rFonts w:ascii="宋体" w:hAnsi="宋体" w:eastAsia="宋体"/>
          <w:b/>
          <w:bCs/>
          <w:sz w:val="36"/>
          <w:szCs w:val="40"/>
        </w:rPr>
      </w:pPr>
      <w:r>
        <w:rPr>
          <w:rFonts w:hint="eastAsia" w:ascii="宋体" w:hAnsi="宋体" w:eastAsia="宋体"/>
          <w:b/>
          <w:bCs/>
          <w:sz w:val="36"/>
          <w:szCs w:val="40"/>
        </w:rPr>
        <w:t>《粤港澳大湾区个人所得税优惠政策财政补贴》</w:t>
      </w:r>
      <w:bookmarkStart w:id="0" w:name="_Hlk76313116"/>
    </w:p>
    <w:p>
      <w:pPr>
        <w:jc w:val="center"/>
        <w:rPr>
          <w:rFonts w:ascii="宋体" w:hAnsi="宋体" w:eastAsia="宋体"/>
          <w:b/>
          <w:bCs/>
          <w:sz w:val="36"/>
          <w:szCs w:val="40"/>
        </w:rPr>
      </w:pPr>
      <w:r>
        <w:rPr>
          <w:rFonts w:hint="eastAsia" w:ascii="宋体" w:hAnsi="宋体" w:eastAsia="宋体"/>
          <w:b/>
          <w:bCs/>
          <w:sz w:val="36"/>
          <w:szCs w:val="40"/>
        </w:rPr>
        <w:t>网上申办</w:t>
      </w:r>
      <w:bookmarkEnd w:id="0"/>
      <w:r>
        <w:rPr>
          <w:rFonts w:hint="eastAsia" w:ascii="宋体" w:hAnsi="宋体" w:eastAsia="宋体"/>
          <w:b/>
          <w:bCs/>
          <w:sz w:val="36"/>
          <w:szCs w:val="40"/>
        </w:rPr>
        <w:t>指南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  <w:b/>
          <w:bCs/>
          <w:sz w:val="22"/>
          <w:szCs w:val="24"/>
        </w:rPr>
      </w:pPr>
      <w:r>
        <w:rPr>
          <w:rFonts w:hint="eastAsia" w:ascii="宋体" w:hAnsi="宋体" w:eastAsia="宋体"/>
          <w:b/>
          <w:bCs/>
          <w:sz w:val="22"/>
          <w:szCs w:val="24"/>
        </w:rPr>
        <w:t>本指南主要分为</w:t>
      </w:r>
      <w:r>
        <w:rPr>
          <w:rFonts w:ascii="宋体" w:hAnsi="宋体" w:eastAsia="宋体"/>
          <w:b/>
          <w:bCs/>
          <w:sz w:val="22"/>
          <w:szCs w:val="24"/>
        </w:rPr>
        <w:t>5</w:t>
      </w:r>
      <w:r>
        <w:rPr>
          <w:rFonts w:hint="eastAsia" w:ascii="宋体" w:hAnsi="宋体" w:eastAsia="宋体"/>
          <w:b/>
          <w:bCs/>
          <w:sz w:val="22"/>
          <w:szCs w:val="24"/>
        </w:rPr>
        <w:t>部分进行介绍：</w:t>
      </w:r>
    </w:p>
    <w:p>
      <w:pPr>
        <w:pStyle w:val="3"/>
        <w:numPr>
          <w:ilvl w:val="0"/>
          <w:numId w:val="2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账号注册和登录</w:t>
      </w:r>
    </w:p>
    <w:p>
      <w:pPr>
        <w:pStyle w:val="3"/>
        <w:numPr>
          <w:ilvl w:val="0"/>
          <w:numId w:val="2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事项查找</w:t>
      </w:r>
    </w:p>
    <w:p>
      <w:pPr>
        <w:pStyle w:val="3"/>
        <w:numPr>
          <w:ilvl w:val="0"/>
          <w:numId w:val="2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网上填报</w:t>
      </w:r>
    </w:p>
    <w:p>
      <w:pPr>
        <w:pStyle w:val="3"/>
        <w:numPr>
          <w:ilvl w:val="0"/>
          <w:numId w:val="2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记录查看及补正告知</w:t>
      </w:r>
    </w:p>
    <w:p>
      <w:pPr>
        <w:pStyle w:val="3"/>
        <w:numPr>
          <w:ilvl w:val="0"/>
          <w:numId w:val="2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其他需注意事项</w:t>
      </w:r>
    </w:p>
    <w:p>
      <w:pPr>
        <w:rPr>
          <w:rFonts w:ascii="宋体" w:hAnsi="宋体" w:eastAsia="宋体"/>
        </w:rPr>
      </w:pPr>
    </w:p>
    <w:p>
      <w:pPr>
        <w:pStyle w:val="2"/>
      </w:pPr>
      <w:r>
        <w:rPr>
          <w:rFonts w:hint="eastAsia"/>
        </w:rPr>
        <w:t>账号注</w:t>
      </w:r>
      <w:r>
        <w:rPr>
          <w:rFonts w:hint="eastAsia"/>
          <w:highlight w:val="none"/>
        </w:rPr>
        <w:t>册和登录</w:t>
      </w:r>
    </w:p>
    <w:p>
      <w:pPr>
        <w:pStyle w:val="3"/>
        <w:numPr>
          <w:ilvl w:val="0"/>
          <w:numId w:val="3"/>
        </w:numPr>
        <w:tabs>
          <w:tab w:val="left" w:pos="567"/>
        </w:tabs>
        <w:ind w:left="0" w:firstLine="424" w:firstLineChars="20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打开广东省政务服务网（中山市）首页，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http://www.gdzwfw.gov.cn/portal/index?region=442000&amp;t=1587455048450</w:t>
      </w:r>
    </w:p>
    <w:p>
      <w:pPr>
        <w:rPr>
          <w:rFonts w:ascii="宋体" w:hAnsi="宋体" w:eastAsia="宋体"/>
        </w:rPr>
      </w:pPr>
      <w:r>
        <w:drawing>
          <wp:inline distT="0" distB="0" distL="114300" distR="114300">
            <wp:extent cx="5272405" cy="2448560"/>
            <wp:effectExtent l="0" t="0" r="4445" b="889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3"/>
        </w:numPr>
        <w:tabs>
          <w:tab w:val="left" w:pos="567"/>
        </w:tabs>
        <w:ind w:left="0" w:firstLine="424" w:firstLineChars="20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点击右上角登录打开登录页面。《粤港澳大湾区个人所得税优惠政策财政补贴》事项仅对个人账号开放申请，因此申办时需使用个人账号登录：</w:t>
      </w:r>
    </w:p>
    <w:p>
      <w:pPr>
        <w:jc w:val="center"/>
        <w:rPr>
          <w:rFonts w:ascii="宋体" w:hAnsi="宋体" w:eastAsia="宋体"/>
        </w:rPr>
      </w:pPr>
      <w:r>
        <w:drawing>
          <wp:inline distT="0" distB="0" distL="114300" distR="114300">
            <wp:extent cx="4948555" cy="2449830"/>
            <wp:effectExtent l="0" t="0" r="4445" b="3810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b="11711"/>
                    <a:stretch>
                      <a:fillRect/>
                    </a:stretch>
                  </pic:blipFill>
                  <pic:spPr>
                    <a:xfrm>
                      <a:off x="0" y="0"/>
                      <a:ext cx="4948555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</w:p>
    <w:p>
      <w:pPr>
        <w:pStyle w:val="3"/>
        <w:tabs>
          <w:tab w:val="left" w:pos="567"/>
        </w:tabs>
      </w:pPr>
      <w:r>
        <w:rPr>
          <w:rFonts w:hint="eastAsia" w:ascii="宋体" w:hAnsi="宋体" w:eastAsia="宋体"/>
        </w:rPr>
        <w:t>用户可选择使用微信</w:t>
      </w:r>
      <w:r>
        <w:rPr>
          <w:rFonts w:hint="eastAsia" w:ascii="宋体" w:hAnsi="宋体" w:eastAsia="宋体"/>
          <w:lang w:val="en-US" w:eastAsia="zh-CN"/>
        </w:rPr>
        <w:t>活支付宝</w:t>
      </w:r>
      <w:r>
        <w:rPr>
          <w:rFonts w:hint="eastAsia" w:ascii="宋体" w:hAnsi="宋体" w:eastAsia="宋体"/>
        </w:rPr>
        <w:t>扫码登录“粤省事”账号或选择下方的“账号密码”，切换页面后输入账号密码进行登录。</w:t>
      </w:r>
    </w:p>
    <w:p>
      <w:pPr>
        <w:jc w:val="center"/>
      </w:pPr>
      <w:r>
        <w:drawing>
          <wp:inline distT="0" distB="0" distL="114300" distR="114300">
            <wp:extent cx="2879090" cy="3028315"/>
            <wp:effectExtent l="0" t="0" r="1270" b="4445"/>
            <wp:docPr id="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 w:ascii="宋体" w:hAnsi="宋体" w:eastAsia="宋体"/>
        </w:rPr>
        <w:t>登录成功后，右上角会显示登录用户的脱敏后的名称。</w:t>
      </w:r>
    </w:p>
    <w:p>
      <w:pPr>
        <w:rPr>
          <w:rFonts w:ascii="宋体" w:hAnsi="宋体" w:eastAsia="宋体"/>
        </w:rPr>
      </w:pPr>
      <w:r>
        <w:drawing>
          <wp:inline distT="0" distB="0" distL="114300" distR="114300">
            <wp:extent cx="5267960" cy="2460625"/>
            <wp:effectExtent l="0" t="0" r="8890" b="15875"/>
            <wp:docPr id="5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</w:rPr>
        <w:t xml:space="preserve"> </w:t>
      </w:r>
    </w:p>
    <w:p>
      <w:pPr>
        <w:rPr>
          <w:rFonts w:ascii="宋体" w:hAnsi="宋体" w:eastAsia="宋体"/>
        </w:rPr>
      </w:pPr>
    </w:p>
    <w:p>
      <w:pPr>
        <w:pStyle w:val="3"/>
        <w:numPr>
          <w:ilvl w:val="0"/>
          <w:numId w:val="3"/>
        </w:numPr>
        <w:tabs>
          <w:tab w:val="left" w:pos="567"/>
        </w:tabs>
        <w:ind w:left="0" w:firstLine="424" w:firstLineChars="202"/>
      </w:pPr>
      <w:r>
        <w:rPr>
          <w:rFonts w:hint="eastAsia" w:ascii="宋体" w:hAnsi="宋体" w:eastAsia="宋体"/>
        </w:rPr>
        <w:t>若用户未有账号，可在账号密码登录页面选择“立即注册”，进入账号注册页面进行注册。</w:t>
      </w:r>
    </w:p>
    <w:p>
      <w:pPr>
        <w:tabs>
          <w:tab w:val="left" w:pos="567"/>
        </w:tabs>
        <w:jc w:val="center"/>
      </w:pPr>
      <w:r>
        <w:drawing>
          <wp:inline distT="0" distB="0" distL="114300" distR="114300">
            <wp:extent cx="3452495" cy="2962275"/>
            <wp:effectExtent l="0" t="0" r="6985" b="9525"/>
            <wp:docPr id="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5249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drawing>
          <wp:inline distT="0" distB="0" distL="114300" distR="114300">
            <wp:extent cx="5001895" cy="5485130"/>
            <wp:effectExtent l="0" t="0" r="12065" b="1270"/>
            <wp:docPr id="3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rcRect b="13885"/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548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完成注册后，再返回登录页面输入账号密码登录即可。</w:t>
      </w:r>
    </w:p>
    <w:p>
      <w:pPr>
        <w:ind w:firstLine="424" w:firstLineChars="202"/>
        <w:rPr>
          <w:rFonts w:ascii="宋体" w:hAnsi="宋体" w:eastAsia="宋体"/>
        </w:rPr>
      </w:pPr>
    </w:p>
    <w:p>
      <w:pPr>
        <w:pStyle w:val="3"/>
        <w:numPr>
          <w:ilvl w:val="0"/>
          <w:numId w:val="3"/>
        </w:numPr>
        <w:tabs>
          <w:tab w:val="left" w:pos="567"/>
        </w:tabs>
        <w:ind w:left="0" w:firstLine="424" w:firstLineChars="202"/>
      </w:pPr>
      <w:r>
        <w:rPr>
          <w:rFonts w:hint="eastAsia" w:ascii="宋体" w:hAnsi="宋体" w:eastAsia="宋体"/>
        </w:rPr>
        <w:t>其他关于账号注册登录的常见问题，用户可点击登录页面下方的“用户帮助”链接进行了解。</w:t>
      </w:r>
    </w:p>
    <w:p>
      <w:pPr>
        <w:jc w:val="center"/>
      </w:pPr>
      <w:r>
        <w:drawing>
          <wp:inline distT="0" distB="0" distL="114300" distR="114300">
            <wp:extent cx="5261610" cy="1781810"/>
            <wp:effectExtent l="0" t="0" r="11430" b="1270"/>
            <wp:docPr id="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pStyle w:val="2"/>
      </w:pPr>
      <w:r>
        <w:rPr>
          <w:rFonts w:hint="eastAsia"/>
        </w:rPr>
        <w:t>事项</w:t>
      </w:r>
      <w:r>
        <w:rPr>
          <w:rFonts w:hint="eastAsia"/>
          <w:highlight w:val="none"/>
        </w:rPr>
        <w:t>查找</w:t>
      </w:r>
      <w:r>
        <w:rPr>
          <w:rFonts w:hint="eastAsia"/>
        </w:rPr>
        <w:t>（如何找到申请入口？）</w:t>
      </w:r>
    </w:p>
    <w:p>
      <w:pPr>
        <w:ind w:firstLine="424" w:firstLineChars="20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《粤港澳大湾区个人所得税优惠政策财政补贴》分为高端人才和紧缺人才2个事项。用户可在广东省政务服务网（中山市）首页输入关键字进行搜索，找到相应事项。</w:t>
      </w:r>
    </w:p>
    <w:p>
      <w:pPr>
        <w:rPr>
          <w:rFonts w:ascii="宋体" w:hAnsi="宋体" w:eastAsia="宋体"/>
        </w:rPr>
      </w:pPr>
      <w:r>
        <w:drawing>
          <wp:inline distT="0" distB="0" distL="114300" distR="114300">
            <wp:extent cx="5262245" cy="2444750"/>
            <wp:effectExtent l="0" t="0" r="14605" b="12700"/>
            <wp:docPr id="5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  <w:r>
        <w:drawing>
          <wp:inline distT="0" distB="0" distL="114300" distR="114300">
            <wp:extent cx="5270500" cy="1819275"/>
            <wp:effectExtent l="0" t="0" r="6350" b="9525"/>
            <wp:docPr id="5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点击“在线办理”即可进入事项申办页面。</w:t>
      </w:r>
    </w:p>
    <w:p>
      <w:pPr>
        <w:ind w:firstLine="420" w:firstLineChars="200"/>
      </w:pPr>
      <w:r>
        <w:rPr>
          <w:rFonts w:hint="eastAsia" w:ascii="宋体" w:hAnsi="宋体" w:eastAsia="宋体"/>
        </w:rPr>
        <w:t>直接点击事项名称或点击“办事指南”，即可查看事项的办事指南。</w:t>
      </w:r>
    </w:p>
    <w:p>
      <w:r>
        <w:drawing>
          <wp:inline distT="0" distB="0" distL="114300" distR="114300">
            <wp:extent cx="5272405" cy="2479675"/>
            <wp:effectExtent l="0" t="0" r="444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宋体" w:hAnsi="宋体" w:eastAsia="宋体"/>
        </w:rPr>
      </w:pPr>
      <w:bookmarkStart w:id="1" w:name="_Hlk76494732"/>
      <w:r>
        <w:rPr>
          <w:rFonts w:hint="eastAsia" w:ascii="宋体" w:hAnsi="宋体" w:eastAsia="宋体"/>
        </w:rPr>
        <w:t>在办事指南页面点击“</w:t>
      </w:r>
      <w:r>
        <w:rPr>
          <w:rFonts w:hint="eastAsia" w:ascii="宋体" w:hAnsi="宋体" w:eastAsia="宋体"/>
          <w:lang w:val="en-US" w:eastAsia="zh-CN"/>
        </w:rPr>
        <w:t>在线</w:t>
      </w:r>
      <w:r>
        <w:rPr>
          <w:rFonts w:hint="eastAsia" w:ascii="宋体" w:hAnsi="宋体" w:eastAsia="宋体"/>
        </w:rPr>
        <w:t>办理”也可进入事项申办页面。</w:t>
      </w:r>
      <w:bookmarkEnd w:id="1"/>
    </w:p>
    <w:p>
      <w:pPr>
        <w:jc w:val="both"/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pStyle w:val="2"/>
        <w:rPr>
          <w:highlight w:val="none"/>
        </w:rPr>
      </w:pPr>
      <w:r>
        <w:rPr>
          <w:rFonts w:hint="eastAsia"/>
          <w:highlight w:val="none"/>
        </w:rPr>
        <w:t>事项填报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下面以“粤港澳大湾区个人所得税优惠政策财政补贴（境外高端人才）”为例介绍事项的填报及申请。</w:t>
      </w:r>
    </w:p>
    <w:p>
      <w:pPr>
        <w:pStyle w:val="3"/>
        <w:numPr>
          <w:ilvl w:val="0"/>
          <w:numId w:val="4"/>
        </w:numPr>
        <w:ind w:left="0" w:firstLine="420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在找到事项后点击“在线办理”按钮后，即可进入事项的申办页面：</w:t>
      </w:r>
    </w:p>
    <w:p>
      <w:pPr>
        <w:rPr>
          <w:rFonts w:ascii="宋体" w:hAnsi="宋体" w:eastAsia="宋体"/>
        </w:rPr>
      </w:pPr>
      <w:r>
        <w:drawing>
          <wp:inline distT="0" distB="0" distL="114300" distR="114300">
            <wp:extent cx="5272405" cy="2413635"/>
            <wp:effectExtent l="0" t="0" r="4445" b="571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4"/>
        </w:numPr>
        <w:ind w:left="0" w:firstLine="420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第一个页面为信息自检页，用户可查阅相关的事项办理条件信息、提交材料清单及个人基本信息等。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34632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</w:p>
    <w:p>
      <w:pPr>
        <w:pStyle w:val="3"/>
        <w:numPr>
          <w:ilvl w:val="0"/>
          <w:numId w:val="4"/>
        </w:numPr>
        <w:ind w:left="0" w:firstLine="420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确认无误后，勾选“我已阅读并同意遵守</w:t>
      </w:r>
      <w:r>
        <w:rPr>
          <w:rFonts w:ascii="宋体" w:hAnsi="宋体" w:eastAsia="宋体"/>
        </w:rPr>
        <w:t>《申办协议》</w:t>
      </w:r>
      <w:r>
        <w:rPr>
          <w:rFonts w:hint="eastAsia" w:ascii="宋体" w:hAnsi="宋体" w:eastAsia="宋体"/>
          <w:lang w:val="en-US" w:eastAsia="zh-CN"/>
        </w:rPr>
        <w:t xml:space="preserve"> 《信用承诺书》</w:t>
      </w:r>
      <w:r>
        <w:rPr>
          <w:rFonts w:hint="eastAsia" w:ascii="宋体" w:hAnsi="宋体" w:eastAsia="宋体"/>
        </w:rPr>
        <w:t>”并点击“保存并下一步”，进入下一个页面。</w:t>
      </w:r>
    </w:p>
    <w:p>
      <w:pPr>
        <w:rPr>
          <w:rFonts w:ascii="宋体" w:hAnsi="宋体" w:eastAsia="宋体"/>
        </w:rPr>
      </w:pPr>
      <w:r>
        <w:drawing>
          <wp:inline distT="0" distB="0" distL="114300" distR="114300">
            <wp:extent cx="5273040" cy="1452245"/>
            <wp:effectExtent l="0" t="0" r="3810" b="14605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4"/>
        </w:numPr>
        <w:ind w:left="0" w:firstLine="420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第二步为表单填写页面。用户根据自己实际情况填写相关信息。</w:t>
      </w:r>
    </w:p>
    <w:p>
      <w:pPr>
        <w:ind w:firstLine="420" w:firstLineChars="200"/>
        <w:rPr>
          <w:rFonts w:hint="eastAsia" w:ascii="宋体" w:hAnsi="宋体" w:eastAsia="宋体" w:cs="宋体"/>
          <w:lang w:val="en-US" w:eastAsia="zh-CN"/>
        </w:rPr>
      </w:pPr>
    </w:p>
    <w:p>
      <w:pPr>
        <w:ind w:firstLine="422" w:firstLineChars="200"/>
        <w:rPr>
          <w:rFonts w:hint="default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具体填写操作说明可下载填报页面上的《填写操作指引》参考。</w:t>
      </w:r>
    </w:p>
    <w:p>
      <w:pPr>
        <w:rPr>
          <w:rFonts w:ascii="宋体" w:hAnsi="宋体" w:eastAsia="宋体"/>
        </w:rPr>
      </w:pPr>
    </w:p>
    <w:p>
      <w:pPr>
        <w:pStyle w:val="3"/>
        <w:numPr>
          <w:ilvl w:val="0"/>
          <w:numId w:val="4"/>
        </w:numPr>
        <w:ind w:left="0" w:firstLine="420" w:firstLineChars="0"/>
      </w:pPr>
      <w:r>
        <w:rPr>
          <w:rFonts w:hint="eastAsia" w:ascii="宋体" w:hAnsi="宋体" w:eastAsia="宋体"/>
        </w:rPr>
        <w:t>在填写过程中，用户随时可点击页面下方的“暂存”按钮，对已填写的内容进行保存，以便下次继续填写。</w:t>
      </w:r>
    </w:p>
    <w:p>
      <w:r>
        <w:drawing>
          <wp:inline distT="0" distB="0" distL="114300" distR="114300">
            <wp:extent cx="5266690" cy="812165"/>
            <wp:effectExtent l="0" t="0" r="10160" b="698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default" w:ascii="宋体" w:hAnsi="宋体" w:eastAsia="宋体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21"/>
          <w:szCs w:val="22"/>
          <w:lang w:val="en-US" w:eastAsia="zh-CN" w:bidi="ar-SA"/>
        </w:rPr>
        <w:t>也可点击页面下方的“历史数据填充”按钮，获取已申办的记录。</w:t>
      </w:r>
    </w:p>
    <w:p>
      <w:pPr>
        <w:rPr>
          <w:rFonts w:hint="default" w:ascii="宋体" w:hAnsi="宋体" w:eastAsia="宋体" w:cstheme="minorBidi"/>
          <w:kern w:val="2"/>
          <w:sz w:val="21"/>
          <w:szCs w:val="22"/>
          <w:lang w:val="en-US" w:eastAsia="zh-CN" w:bidi="ar-SA"/>
        </w:rPr>
      </w:pPr>
      <w:r>
        <w:drawing>
          <wp:inline distT="0" distB="0" distL="114300" distR="114300">
            <wp:extent cx="5266690" cy="638810"/>
            <wp:effectExtent l="0" t="0" r="10160" b="8890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宋体" w:hAnsi="宋体" w:eastAsia="宋体" w:cstheme="minorBidi"/>
          <w:kern w:val="2"/>
          <w:sz w:val="21"/>
          <w:szCs w:val="22"/>
          <w:lang w:val="en-US" w:eastAsia="zh-CN" w:bidi="ar-SA"/>
        </w:rPr>
      </w:pPr>
      <w:r>
        <w:drawing>
          <wp:inline distT="0" distB="0" distL="114300" distR="114300">
            <wp:extent cx="5271135" cy="2880995"/>
            <wp:effectExtent l="0" t="0" r="5715" b="14605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4"/>
        </w:numPr>
        <w:ind w:left="0" w:firstLine="420" w:firstLineChars="0"/>
      </w:pPr>
      <w:r>
        <w:rPr>
          <w:rFonts w:hint="eastAsia" w:ascii="宋体" w:hAnsi="宋体" w:eastAsia="宋体"/>
        </w:rPr>
        <w:t>填写完成后并检查无误后，点击暂存。用户可点击下方的“下载申请表”按钮，将已填写的资料进行下载，并打印签名和盖章。</w:t>
      </w:r>
    </w:p>
    <w:p>
      <w:r>
        <w:drawing>
          <wp:inline distT="0" distB="0" distL="114300" distR="114300">
            <wp:extent cx="5271135" cy="774065"/>
            <wp:effectExtent l="0" t="0" r="5715" b="6985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4"/>
        </w:numPr>
        <w:ind w:left="0" w:firstLine="420"/>
      </w:pPr>
      <w:r>
        <w:rPr>
          <w:rFonts w:hint="eastAsia" w:ascii="宋体" w:hAnsi="宋体" w:eastAsia="宋体"/>
        </w:rPr>
        <w:t>表单填写完成后，可点击“下一步”，进入附件材料列表页面</w:t>
      </w:r>
      <w:r>
        <w:rPr>
          <w:rFonts w:hint="eastAsia" w:ascii="宋体" w:hAnsi="宋体" w:eastAsia="宋体"/>
          <w:lang w:eastAsia="zh-CN"/>
        </w:rPr>
        <w:t>。</w:t>
      </w:r>
      <w:r>
        <w:rPr>
          <w:rFonts w:hint="eastAsia" w:ascii="宋体" w:hAnsi="宋体" w:eastAsia="宋体"/>
        </w:rPr>
        <w:t>可看到事项需提交的附件材料清单</w:t>
      </w:r>
      <w:r>
        <w:rPr>
          <w:rFonts w:hint="eastAsia" w:ascii="宋体" w:hAnsi="宋体" w:eastAsia="宋体"/>
          <w:lang w:eastAsia="zh-CN"/>
        </w:rPr>
        <w:t>。</w:t>
      </w:r>
    </w:p>
    <w:p>
      <w:pPr>
        <w:rPr>
          <w:rFonts w:ascii="宋体" w:hAnsi="宋体" w:eastAsia="宋体"/>
        </w:rPr>
      </w:pPr>
    </w:p>
    <w:p>
      <w:pPr>
        <w:pStyle w:val="3"/>
        <w:numPr>
          <w:ilvl w:val="0"/>
          <w:numId w:val="4"/>
        </w:numPr>
        <w:ind w:left="0" w:firstLine="420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确保填写的信息以及附件都准确无误后，点击页面下方“提交申请”即可完成申请。成功申请后，会有成功申请的提示并返回本次业务申办的流水号。同时预留的联系人手机会同步接收成功申请的提示短信。用户可留意相关提醒短信，及时了解办件的办理情况。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965450"/>
            <wp:effectExtent l="0" t="0" r="2540" b="635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/>
        </w:rPr>
      </w:pPr>
      <w:r>
        <w:drawing>
          <wp:inline distT="0" distB="0" distL="114300" distR="114300">
            <wp:extent cx="3075940" cy="1210310"/>
            <wp:effectExtent l="0" t="0" r="10160" b="8890"/>
            <wp:docPr id="2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75940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宋体" w:hAnsi="宋体" w:eastAsia="宋体"/>
        </w:rPr>
      </w:pPr>
    </w:p>
    <w:p>
      <w:pPr>
        <w:pStyle w:val="3"/>
        <w:numPr>
          <w:ilvl w:val="0"/>
          <w:numId w:val="4"/>
        </w:numPr>
        <w:ind w:left="0" w:firstLine="420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粤港澳大湾区个人所得税优惠政策财政补贴（紧缺人才）的表单与粤港澳大湾区个人所得税优惠政策财政补贴（高端人才）类似，只是个别字段和提交的材料有区别，因此不另做赘述。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pStyle w:val="2"/>
      </w:pPr>
      <w:r>
        <w:rPr>
          <w:rFonts w:hint="eastAsia"/>
        </w:rPr>
        <w:t>记录查</w:t>
      </w:r>
      <w:r>
        <w:rPr>
          <w:rFonts w:hint="eastAsia"/>
          <w:highlight w:val="none"/>
        </w:rPr>
        <w:t>看及补正</w:t>
      </w:r>
      <w:r>
        <w:rPr>
          <w:rFonts w:hint="eastAsia"/>
        </w:rPr>
        <w:t>告知</w:t>
      </w:r>
    </w:p>
    <w:p>
      <w:pPr>
        <w:pStyle w:val="3"/>
        <w:numPr>
          <w:ilvl w:val="0"/>
          <w:numId w:val="5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记录查看：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已成功提交申请的办件，可在办件中心进行查看。</w:t>
      </w:r>
    </w:p>
    <w:p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在广东省政务服务网（中山市）页面，找到“我的办件”模块，点击进入：</w:t>
      </w:r>
    </w:p>
    <w:p>
      <w:pPr>
        <w:numPr>
          <w:ilvl w:val="0"/>
          <w:numId w:val="6"/>
        </w:numPr>
        <w:ind w:left="420" w:leftChars="0" w:hanging="420" w:firstLineChars="0"/>
      </w:pPr>
      <w:r>
        <w:rPr>
          <w:rFonts w:hint="eastAsia" w:ascii="宋体" w:hAnsi="宋体" w:eastAsia="宋体"/>
          <w:lang w:val="en-US" w:eastAsia="zh-CN"/>
        </w:rPr>
        <w:t>若当前所使用的</w:t>
      </w:r>
      <w:r>
        <w:rPr>
          <w:rFonts w:hint="eastAsia" w:ascii="宋体" w:hAnsi="宋体" w:eastAsia="宋体"/>
        </w:rPr>
        <w:t>广东省政务服务网（中山市）页面</w:t>
      </w:r>
      <w:r>
        <w:rPr>
          <w:rFonts w:hint="eastAsia" w:ascii="宋体" w:hAnsi="宋体" w:eastAsia="宋体"/>
          <w:lang w:val="en-US" w:eastAsia="zh-CN"/>
        </w:rPr>
        <w:t>为新版界面，则先点击“特色创新”版块，在特色创新页面点击“我的办件”模块。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9230" cy="2482215"/>
            <wp:effectExtent l="0" t="0" r="7620" b="1333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4150" cy="2655570"/>
            <wp:effectExtent l="0" t="0" r="1270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ind w:left="420" w:leftChars="0" w:hanging="420" w:firstLineChars="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若当前所使用的广东省政务服务网（中山市）页面为</w:t>
      </w:r>
      <w:r>
        <w:rPr>
          <w:rFonts w:hint="eastAsia" w:ascii="宋体" w:hAnsi="宋体" w:eastAsia="宋体"/>
          <w:lang w:val="en-US" w:eastAsia="zh-CN"/>
        </w:rPr>
        <w:t>旧</w:t>
      </w:r>
      <w:r>
        <w:rPr>
          <w:rFonts w:hint="eastAsia" w:ascii="宋体" w:hAnsi="宋体" w:eastAsia="宋体"/>
        </w:rPr>
        <w:t>版界面，</w:t>
      </w:r>
      <w:r>
        <w:rPr>
          <w:rFonts w:hint="eastAsia" w:ascii="宋体" w:hAnsi="宋体" w:eastAsia="宋体"/>
          <w:lang w:val="en-US" w:eastAsia="zh-CN"/>
        </w:rPr>
        <w:t>则直接在当前页面点击“我的办件”模块。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/>
        </w:rPr>
      </w:pPr>
    </w:p>
    <w:p>
      <w:pPr>
        <w:numPr>
          <w:ilvl w:val="0"/>
          <w:numId w:val="0"/>
        </w:numPr>
        <w:ind w:leftChars="0"/>
        <w:rPr>
          <w:rFonts w:ascii="宋体" w:hAnsi="宋体" w:eastAsia="宋体"/>
        </w:rPr>
      </w:pPr>
      <w:r>
        <w:drawing>
          <wp:inline distT="0" distB="0" distL="114300" distR="114300">
            <wp:extent cx="5266690" cy="2390140"/>
            <wp:effectExtent l="0" t="0" r="10160" b="1016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“我的办件”下有4个列表：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在“我的暂存件”中，可查看暂存，但未提交的记录；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在“我的申请件”中，可查看已提交的申请件记录；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在“我的预审件”中，可查看在窗口预审状态下的办件记录；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在“我的撤销件”中，可查看已撤销申请的申请件记录；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599690"/>
            <wp:effectExtent l="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</w:p>
    <w:p>
      <w:pPr>
        <w:pStyle w:val="3"/>
        <w:numPr>
          <w:ilvl w:val="0"/>
          <w:numId w:val="5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补正告知</w:t>
      </w:r>
    </w:p>
    <w:p>
      <w:pPr>
        <w:ind w:firstLine="420" w:firstLineChars="200"/>
      </w:pPr>
      <w:r>
        <w:rPr>
          <w:rFonts w:hint="eastAsia" w:ascii="宋体" w:hAnsi="宋体" w:eastAsia="宋体"/>
        </w:rPr>
        <w:t>若用户收到补正告知的提示短信，</w:t>
      </w:r>
    </w:p>
    <w:p>
      <w:r>
        <w:drawing>
          <wp:inline distT="0" distB="0" distL="114300" distR="114300">
            <wp:extent cx="3940810" cy="1466215"/>
            <wp:effectExtent l="0" t="0" r="2540" b="63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4081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可根据前文提到的方式，进入“我的申请件”中，并找到相应状态为“补正告知”的办件，直接点击打开。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1506855"/>
            <wp:effectExtent l="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700020"/>
            <wp:effectExtent l="0" t="0" r="2540" b="508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在打开页面中，根据部门的补正意见，对申请表内容或材料进行修改。确保无误后，点击下方“补正完成”按钮，进行提交。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2059305" cy="464185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74415" cy="46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</w:rPr>
      </w:pPr>
    </w:p>
    <w:p>
      <w:pPr>
        <w:pStyle w:val="2"/>
      </w:pPr>
      <w:r>
        <w:rPr>
          <w:rFonts w:hint="eastAsia"/>
        </w:rPr>
        <w:t>其</w:t>
      </w:r>
      <w:r>
        <w:rPr>
          <w:rFonts w:hint="eastAsia"/>
          <w:highlight w:val="none"/>
        </w:rPr>
        <w:t>他需注意事</w:t>
      </w:r>
      <w:r>
        <w:rPr>
          <w:rFonts w:hint="eastAsia"/>
        </w:rPr>
        <w:t>项</w:t>
      </w:r>
    </w:p>
    <w:p>
      <w:pPr>
        <w:pStyle w:val="3"/>
        <w:numPr>
          <w:ilvl w:val="0"/>
          <w:numId w:val="7"/>
        </w:numPr>
        <w:ind w:left="0" w:firstLine="424" w:firstLineChars="20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《粤港澳大湾区个人所得税优惠政策财政补贴》事项需使用个人账号进行申办，企业账号无法申办。</w:t>
      </w:r>
    </w:p>
    <w:p>
      <w:pPr>
        <w:pStyle w:val="3"/>
        <w:numPr>
          <w:ilvl w:val="0"/>
          <w:numId w:val="7"/>
        </w:numPr>
        <w:ind w:left="0" w:firstLine="424" w:firstLineChars="20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注意预留的经办人手机号准确，否则无法正常收取申请办件的相关提示短信。</w:t>
      </w:r>
    </w:p>
    <w:p>
      <w:pPr>
        <w:pStyle w:val="3"/>
        <w:numPr>
          <w:ilvl w:val="0"/>
          <w:numId w:val="7"/>
        </w:numPr>
        <w:ind w:left="0" w:firstLine="424" w:firstLineChars="20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填写的《个税所得项目数据表》需如实填写最新一次的“粤港澳大湾区人才税</w:t>
      </w:r>
      <w:r>
        <w:rPr>
          <w:rFonts w:ascii="宋体" w:hAnsi="宋体" w:eastAsia="宋体"/>
        </w:rPr>
        <w:t>e查”</w:t>
      </w:r>
      <w:r>
        <w:rPr>
          <w:rFonts w:hint="eastAsia" w:ascii="宋体" w:hAnsi="宋体" w:eastAsia="宋体"/>
        </w:rPr>
        <w:t>结果。</w:t>
      </w:r>
    </w:p>
    <w:p>
      <w:pPr>
        <w:pStyle w:val="3"/>
        <w:numPr>
          <w:ilvl w:val="0"/>
          <w:numId w:val="7"/>
        </w:numPr>
        <w:ind w:left="0" w:firstLine="424" w:firstLineChars="20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申请表填写完成后，需先点击“暂存”后，再点击“下载申请表”，否则下载的信息可能不全。</w:t>
      </w:r>
    </w:p>
    <w:p>
      <w:pPr>
        <w:pStyle w:val="3"/>
        <w:numPr>
          <w:ilvl w:val="0"/>
          <w:numId w:val="7"/>
        </w:numPr>
        <w:ind w:left="0" w:firstLine="424" w:firstLineChars="20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申请人需对所提交的资料的真实性负责，由此产生的一切责任由申请人本人承担。</w:t>
      </w:r>
    </w:p>
    <w:p>
      <w:pPr>
        <w:rPr>
          <w:rFonts w:ascii="宋体" w:hAnsi="宋体" w:eastAsia="宋体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EhxuI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ESHG4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EA1F2F"/>
    <w:multiLevelType w:val="multilevel"/>
    <w:tmpl w:val="17EA1F2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515C57"/>
    <w:multiLevelType w:val="multilevel"/>
    <w:tmpl w:val="25515C57"/>
    <w:lvl w:ilvl="0" w:tentative="0">
      <w:start w:val="1"/>
      <w:numFmt w:val="japaneseCounting"/>
      <w:pStyle w:val="2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9BE7C26"/>
    <w:multiLevelType w:val="multilevel"/>
    <w:tmpl w:val="39BE7C26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72C514C"/>
    <w:multiLevelType w:val="singleLevel"/>
    <w:tmpl w:val="672C514C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67740920"/>
    <w:multiLevelType w:val="multilevel"/>
    <w:tmpl w:val="6774092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0530168"/>
    <w:multiLevelType w:val="multilevel"/>
    <w:tmpl w:val="70530168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713B3BCC"/>
    <w:multiLevelType w:val="multilevel"/>
    <w:tmpl w:val="713B3BCC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jMzRkYzIyOWEwYzczMTlhNTM0NGU0MjFlN2I5MjEifQ=="/>
  </w:docVars>
  <w:rsids>
    <w:rsidRoot w:val="00035B8F"/>
    <w:rsid w:val="00015691"/>
    <w:rsid w:val="00032C6C"/>
    <w:rsid w:val="00035B8F"/>
    <w:rsid w:val="00085B46"/>
    <w:rsid w:val="001246FC"/>
    <w:rsid w:val="0013293F"/>
    <w:rsid w:val="00142022"/>
    <w:rsid w:val="00172EB8"/>
    <w:rsid w:val="001A72DF"/>
    <w:rsid w:val="001B512D"/>
    <w:rsid w:val="00212C72"/>
    <w:rsid w:val="00215785"/>
    <w:rsid w:val="00217B95"/>
    <w:rsid w:val="00224C5C"/>
    <w:rsid w:val="002D47F0"/>
    <w:rsid w:val="002E3AE4"/>
    <w:rsid w:val="00335B59"/>
    <w:rsid w:val="003C3AB2"/>
    <w:rsid w:val="003F4505"/>
    <w:rsid w:val="0044188D"/>
    <w:rsid w:val="004E23A9"/>
    <w:rsid w:val="005319BC"/>
    <w:rsid w:val="00542DBE"/>
    <w:rsid w:val="005956AF"/>
    <w:rsid w:val="005B3217"/>
    <w:rsid w:val="005D0472"/>
    <w:rsid w:val="005D593D"/>
    <w:rsid w:val="005E0FFE"/>
    <w:rsid w:val="006647EC"/>
    <w:rsid w:val="006C0BEA"/>
    <w:rsid w:val="006E1C63"/>
    <w:rsid w:val="007379D7"/>
    <w:rsid w:val="00785320"/>
    <w:rsid w:val="00791767"/>
    <w:rsid w:val="007A4EF4"/>
    <w:rsid w:val="007B77D2"/>
    <w:rsid w:val="007C67AF"/>
    <w:rsid w:val="00874295"/>
    <w:rsid w:val="00886C8A"/>
    <w:rsid w:val="008E30C2"/>
    <w:rsid w:val="0090463D"/>
    <w:rsid w:val="00951264"/>
    <w:rsid w:val="00953604"/>
    <w:rsid w:val="00963CE2"/>
    <w:rsid w:val="009F4829"/>
    <w:rsid w:val="009F641B"/>
    <w:rsid w:val="00A047B9"/>
    <w:rsid w:val="00A23A71"/>
    <w:rsid w:val="00A23CB5"/>
    <w:rsid w:val="00A26CA1"/>
    <w:rsid w:val="00A2779D"/>
    <w:rsid w:val="00A7738D"/>
    <w:rsid w:val="00AA6BEE"/>
    <w:rsid w:val="00AB71F1"/>
    <w:rsid w:val="00AD06EC"/>
    <w:rsid w:val="00AD3A7C"/>
    <w:rsid w:val="00B11FF8"/>
    <w:rsid w:val="00B70417"/>
    <w:rsid w:val="00BA31B7"/>
    <w:rsid w:val="00BB2894"/>
    <w:rsid w:val="00BC4701"/>
    <w:rsid w:val="00BE5BA5"/>
    <w:rsid w:val="00C24D23"/>
    <w:rsid w:val="00C345BD"/>
    <w:rsid w:val="00C35661"/>
    <w:rsid w:val="00C63AB5"/>
    <w:rsid w:val="00D04946"/>
    <w:rsid w:val="00D500ED"/>
    <w:rsid w:val="00D627CC"/>
    <w:rsid w:val="00DB7598"/>
    <w:rsid w:val="00E51E4A"/>
    <w:rsid w:val="00EB2D19"/>
    <w:rsid w:val="00EC4313"/>
    <w:rsid w:val="00F12591"/>
    <w:rsid w:val="00F32F7B"/>
    <w:rsid w:val="00F429C7"/>
    <w:rsid w:val="00F60E92"/>
    <w:rsid w:val="00FD474E"/>
    <w:rsid w:val="035270CB"/>
    <w:rsid w:val="0A3319C1"/>
    <w:rsid w:val="149E339D"/>
    <w:rsid w:val="15242A07"/>
    <w:rsid w:val="195B449A"/>
    <w:rsid w:val="1C192F45"/>
    <w:rsid w:val="218B501C"/>
    <w:rsid w:val="248B4FB0"/>
    <w:rsid w:val="25AA4D71"/>
    <w:rsid w:val="261D5C0D"/>
    <w:rsid w:val="2BD7514D"/>
    <w:rsid w:val="340F2774"/>
    <w:rsid w:val="34D47956"/>
    <w:rsid w:val="388E0F99"/>
    <w:rsid w:val="38B400F0"/>
    <w:rsid w:val="3A663D9E"/>
    <w:rsid w:val="3C465783"/>
    <w:rsid w:val="3FFD571B"/>
    <w:rsid w:val="40A65F68"/>
    <w:rsid w:val="42C52FD7"/>
    <w:rsid w:val="43BA5738"/>
    <w:rsid w:val="43F3055D"/>
    <w:rsid w:val="4A7B712C"/>
    <w:rsid w:val="4ADF60DF"/>
    <w:rsid w:val="4BC17B0C"/>
    <w:rsid w:val="4F9B332E"/>
    <w:rsid w:val="52B71F28"/>
    <w:rsid w:val="579B126A"/>
    <w:rsid w:val="5BD22214"/>
    <w:rsid w:val="5D7C0316"/>
    <w:rsid w:val="5E521C90"/>
    <w:rsid w:val="648267F6"/>
    <w:rsid w:val="66565B3E"/>
    <w:rsid w:val="666A067C"/>
    <w:rsid w:val="71BB4B7F"/>
    <w:rsid w:val="77D4E17F"/>
    <w:rsid w:val="77E94E56"/>
    <w:rsid w:val="785D33F3"/>
    <w:rsid w:val="7E73476D"/>
    <w:rsid w:val="E7F85437"/>
    <w:rsid w:val="F17BA89D"/>
    <w:rsid w:val="F773B7B7"/>
    <w:rsid w:val="FFFFE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12"/>
    <w:qFormat/>
    <w:uiPriority w:val="9"/>
    <w:pPr>
      <w:numPr>
        <w:ilvl w:val="0"/>
        <w:numId w:val="1"/>
      </w:numPr>
      <w:ind w:firstLine="0" w:firstLineChars="0"/>
      <w:outlineLvl w:val="0"/>
    </w:pPr>
    <w:rPr>
      <w:rFonts w:ascii="宋体" w:hAnsi="宋体" w:eastAsia="宋体"/>
      <w:b/>
      <w:bCs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2">
    <w:name w:val="标题 1 字符"/>
    <w:basedOn w:val="7"/>
    <w:link w:val="2"/>
    <w:qFormat/>
    <w:uiPriority w:val="9"/>
    <w:rPr>
      <w:rFonts w:ascii="宋体" w:hAnsi="宋体" w:eastAsia="宋体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5" Type="http://schemas.openxmlformats.org/officeDocument/2006/relationships/fontTable" Target="fontTable.xml"/><Relationship Id="rId34" Type="http://schemas.openxmlformats.org/officeDocument/2006/relationships/numbering" Target="numbering.xml"/><Relationship Id="rId33" Type="http://schemas.openxmlformats.org/officeDocument/2006/relationships/customXml" Target="../customXml/item1.xml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377</Words>
  <Characters>2155</Characters>
  <Lines>17</Lines>
  <Paragraphs>5</Paragraphs>
  <TotalTime>64</TotalTime>
  <ScaleCrop>false</ScaleCrop>
  <LinksUpToDate>false</LinksUpToDate>
  <CharactersWithSpaces>2527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2021-07-02T19:22:00Z</dcterms:created>
  <dc:creator>yu chaoyin</dc:creator>
  <cp:lastModifiedBy>邓丽燕</cp:lastModifiedBy>
  <dcterms:modified xsi:type="dcterms:W3CDTF">2025-12-30T02:59:23Z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C985FBDC4B6F4935A0826E39CAA3A88C</vt:lpwstr>
  </property>
</Properties>
</file>