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color w:val="000000" w:themeColor="text1"/>
          <w:sz w:val="44"/>
          <w:szCs w:val="44"/>
          <w14:textFill>
            <w14:solidFill>
              <w14:schemeClr w14:val="tx1"/>
            </w14:solidFill>
          </w14:textFill>
        </w:rPr>
      </w:pPr>
      <w:r>
        <w:rPr>
          <w:rFonts w:hint="eastAsia" w:ascii="黑体" w:hAnsi="黑体" w:eastAsia="黑体"/>
          <w:bCs/>
          <w:color w:val="000000" w:themeColor="text1"/>
          <w:sz w:val="44"/>
          <w:szCs w:val="44"/>
          <w14:textFill>
            <w14:solidFill>
              <w14:schemeClr w14:val="tx1"/>
            </w14:solidFill>
          </w14:textFill>
        </w:rPr>
        <w:t>“</w:t>
      </w:r>
      <w:r>
        <w:rPr>
          <w:rFonts w:hint="eastAsia" w:ascii="黑体" w:hAnsi="黑体" w:eastAsia="黑体"/>
          <w:bCs/>
          <w:color w:val="000000" w:themeColor="text1"/>
          <w:sz w:val="44"/>
          <w:szCs w:val="44"/>
          <w:lang w:eastAsia="zh-CN"/>
          <w14:textFill>
            <w14:solidFill>
              <w14:schemeClr w14:val="tx1"/>
            </w14:solidFill>
          </w14:textFill>
        </w:rPr>
        <w:t>蓝光金</w:t>
      </w:r>
      <w:r>
        <w:rPr>
          <w:rFonts w:hint="eastAsia" w:ascii="黑体" w:hAnsi="黑体" w:eastAsia="黑体"/>
          <w:bCs/>
          <w:color w:val="000000" w:themeColor="text1"/>
          <w:sz w:val="44"/>
          <w:szCs w:val="44"/>
          <w14:textFill>
            <w14:solidFill>
              <w14:schemeClr w14:val="tx1"/>
            </w14:solidFill>
          </w14:textFill>
        </w:rPr>
        <w:t>郡”项目工业化建筑设计阶段认定专家论证意见</w:t>
      </w:r>
    </w:p>
    <w:p>
      <w:pPr>
        <w:snapToGrid w:val="0"/>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2019年</w:t>
      </w:r>
      <w:r>
        <w:rPr>
          <w:rFonts w:hint="eastAsia" w:ascii="仿宋_GB2312" w:hAnsi="宋体"/>
          <w:bCs/>
          <w:color w:val="000000" w:themeColor="text1"/>
          <w:sz w:val="28"/>
          <w:szCs w:val="28"/>
          <w:lang w:val="en-US" w:eastAsia="zh-CN"/>
          <w14:textFill>
            <w14:solidFill>
              <w14:schemeClr w14:val="tx1"/>
            </w14:solidFill>
          </w14:textFill>
        </w:rPr>
        <w:t>12</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04</w:t>
      </w:r>
      <w:r>
        <w:rPr>
          <w:rFonts w:hint="eastAsia" w:ascii="仿宋_GB2312" w:hAnsi="宋体"/>
          <w:bCs/>
          <w:color w:val="000000" w:themeColor="text1"/>
          <w:sz w:val="28"/>
          <w:szCs w:val="28"/>
          <w14:textFill>
            <w14:solidFill>
              <w14:schemeClr w14:val="tx1"/>
            </w14:solidFill>
          </w14:textFill>
        </w:rPr>
        <w:t>日，福州蓝闽置业有限公司在福州市组织召开“</w:t>
      </w:r>
      <w:r>
        <w:rPr>
          <w:rFonts w:hint="eastAsia" w:ascii="仿宋_GB2312" w:hAnsi="宋体"/>
          <w:bCs/>
          <w:color w:val="000000" w:themeColor="text1"/>
          <w:sz w:val="28"/>
          <w:szCs w:val="28"/>
          <w:lang w:eastAsia="zh-CN"/>
          <w14:textFill>
            <w14:solidFill>
              <w14:schemeClr w14:val="tx1"/>
            </w14:solidFill>
          </w14:textFill>
        </w:rPr>
        <w:t>蓝光金</w:t>
      </w:r>
      <w:r>
        <w:rPr>
          <w:rFonts w:hint="eastAsia" w:ascii="仿宋_GB2312" w:hAnsi="宋体"/>
          <w:bCs/>
          <w:color w:val="000000" w:themeColor="text1"/>
          <w:sz w:val="28"/>
          <w:szCs w:val="28"/>
          <w14:textFill>
            <w14:solidFill>
              <w14:schemeClr w14:val="tx1"/>
            </w14:solidFill>
          </w14:textFill>
        </w:rPr>
        <w:t>郡”项目</w:t>
      </w:r>
      <w:r>
        <w:rPr>
          <w:rFonts w:hint="eastAsia" w:ascii="仿宋_GB2312" w:hAnsi="宋体"/>
          <w:bCs/>
          <w:color w:val="000000" w:themeColor="text1"/>
          <w:sz w:val="28"/>
          <w:szCs w:val="28"/>
          <w:lang w:val="en-US" w:eastAsia="zh-CN"/>
          <w14:textFill>
            <w14:solidFill>
              <w14:schemeClr w14:val="tx1"/>
            </w14:solidFill>
          </w14:textFill>
        </w:rPr>
        <w:t>5号、6号、7号、10号、12号、13号、16号</w:t>
      </w:r>
      <w:r>
        <w:rPr>
          <w:rFonts w:hint="eastAsia" w:ascii="仿宋_GB2312" w:hAnsi="宋体"/>
          <w:bCs/>
          <w:color w:val="000000" w:themeColor="text1"/>
          <w:sz w:val="28"/>
          <w:szCs w:val="28"/>
          <w14:textFill>
            <w14:solidFill>
              <w14:schemeClr w14:val="tx1"/>
            </w14:solidFill>
          </w14:textFill>
        </w:rPr>
        <w:t>楼工业化建筑设计阶段认定专家论证会，会议由福州蓝闽置业有限公司主持，市建设局、设计单位、施工图审查单位、评审专家参加了会议。</w:t>
      </w:r>
    </w:p>
    <w:p>
      <w:pPr>
        <w:snapToGrid w:val="0"/>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工程基本简况如下：本项目位于福州市</w:t>
      </w:r>
      <w:r>
        <w:rPr>
          <w:rFonts w:hint="eastAsia" w:ascii="仿宋_GB2312" w:hAnsi="宋体"/>
          <w:bCs/>
          <w:color w:val="000000" w:themeColor="text1"/>
          <w:sz w:val="28"/>
          <w:szCs w:val="28"/>
          <w:lang w:val="en-US" w:eastAsia="zh-CN"/>
          <w14:textFill>
            <w14:solidFill>
              <w14:schemeClr w14:val="tx1"/>
            </w14:solidFill>
          </w14:textFill>
        </w:rPr>
        <w:t>福光路与横屿路口交叉口西北侧</w:t>
      </w:r>
      <w:r>
        <w:rPr>
          <w:rFonts w:hint="eastAsia" w:ascii="仿宋_GB2312" w:hAnsi="宋体"/>
          <w:bCs/>
          <w:color w:val="000000" w:themeColor="text1"/>
          <w:sz w:val="28"/>
          <w:szCs w:val="28"/>
          <w14:textFill>
            <w14:solidFill>
              <w14:schemeClr w14:val="tx1"/>
            </w14:solidFill>
          </w14:textFill>
        </w:rPr>
        <w:t>。拟建7栋20层高层住宅、1栋19层高层住宅、1栋15层高层住宅、1栋3层幼儿园、4栋1层配套用房、1栋3层配套用房,</w:t>
      </w:r>
      <w:r>
        <w:rPr>
          <w:rFonts w:hint="eastAsia" w:ascii="仿宋_GB2312" w:hAnsi="宋体"/>
          <w:bCs/>
          <w:color w:val="000000" w:themeColor="text1"/>
          <w:sz w:val="28"/>
          <w:szCs w:val="28"/>
          <w:lang w:eastAsia="zh-CN"/>
          <w14:textFill>
            <w14:solidFill>
              <w14:schemeClr w14:val="tx1"/>
            </w14:solidFill>
          </w14:textFill>
        </w:rPr>
        <w:t>一层地下室</w:t>
      </w:r>
      <w:r>
        <w:rPr>
          <w:rFonts w:hint="eastAsia" w:ascii="仿宋_GB2312" w:hAnsi="宋体"/>
          <w:bCs/>
          <w:color w:val="000000" w:themeColor="text1"/>
          <w:sz w:val="28"/>
          <w:szCs w:val="28"/>
          <w14:textFill>
            <w14:solidFill>
              <w14:schemeClr w14:val="tx1"/>
            </w14:solidFill>
          </w14:textFill>
        </w:rPr>
        <w:t>，总建筑面积为136391.00㎡，计入容积率的建筑面积为102341.66㎡。</w:t>
      </w:r>
      <w:r>
        <w:rPr>
          <w:rFonts w:hint="eastAsia" w:ascii="仿宋_GB2312" w:hAnsi="宋体"/>
          <w:bCs/>
          <w:color w:val="000000" w:themeColor="text1"/>
          <w:sz w:val="28"/>
          <w:szCs w:val="28"/>
          <w:lang w:eastAsia="zh-CN"/>
          <w14:textFill>
            <w14:solidFill>
              <w14:schemeClr w14:val="tx1"/>
            </w14:solidFill>
          </w14:textFill>
        </w:rPr>
        <w:t>本工程与</w:t>
      </w:r>
      <w:r>
        <w:rPr>
          <w:rFonts w:hint="eastAsia" w:ascii="仿宋_GB2312" w:hAnsi="宋体"/>
          <w:bCs/>
          <w:color w:val="000000" w:themeColor="text1"/>
          <w:sz w:val="28"/>
          <w:szCs w:val="28"/>
          <w:lang w:val="en-US" w:eastAsia="zh-CN"/>
          <w14:textFill>
            <w14:solidFill>
              <w14:schemeClr w14:val="tx1"/>
            </w14:solidFill>
          </w14:textFill>
        </w:rPr>
        <w:t>2019年11月07日取得建设工程规划许可证，</w:t>
      </w:r>
      <w:r>
        <w:rPr>
          <w:rFonts w:hint="eastAsia" w:ascii="仿宋_GB2312" w:hAnsi="宋体"/>
          <w:bCs/>
          <w:color w:val="000000" w:themeColor="text1"/>
          <w:sz w:val="28"/>
          <w:szCs w:val="28"/>
          <w:lang w:eastAsia="zh-CN"/>
          <w14:textFill>
            <w14:solidFill>
              <w14:schemeClr w14:val="tx1"/>
            </w14:solidFill>
          </w14:textFill>
        </w:rPr>
        <w:t>本工程</w:t>
      </w:r>
      <w:r>
        <w:rPr>
          <w:rFonts w:hint="eastAsia" w:ascii="仿宋_GB2312" w:hAnsi="宋体"/>
          <w:bCs/>
          <w:color w:val="000000" w:themeColor="text1"/>
          <w:sz w:val="28"/>
          <w:szCs w:val="28"/>
          <w:lang w:val="en-US" w:eastAsia="zh-CN"/>
          <w14:textFill>
            <w14:solidFill>
              <w14:schemeClr w14:val="tx1"/>
            </w14:solidFill>
          </w14:textFill>
        </w:rPr>
        <w:t>5</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6</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7</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10</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12</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13</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16</w:t>
      </w:r>
      <w:r>
        <w:rPr>
          <w:rFonts w:hint="eastAsia" w:ascii="仿宋_GB2312" w:hAnsi="宋体"/>
          <w:bCs/>
          <w:color w:val="000000" w:themeColor="text1"/>
          <w:sz w:val="28"/>
          <w:szCs w:val="28"/>
          <w:lang w:eastAsia="zh-CN"/>
          <w14:textFill>
            <w14:solidFill>
              <w14:schemeClr w14:val="tx1"/>
            </w14:solidFill>
          </w14:textFill>
        </w:rPr>
        <w:t>号</w:t>
      </w:r>
      <w:r>
        <w:rPr>
          <w:rFonts w:hint="eastAsia" w:ascii="仿宋_GB2312" w:hAnsi="宋体"/>
          <w:bCs/>
          <w:color w:val="000000" w:themeColor="text1"/>
          <w:sz w:val="28"/>
          <w:szCs w:val="28"/>
          <w14:textFill>
            <w14:solidFill>
              <w14:schemeClr w14:val="tx1"/>
            </w14:solidFill>
          </w14:textFill>
        </w:rPr>
        <w:t>楼采用预制装配式混凝土结构，各单体的建筑高度均</w:t>
      </w:r>
      <w:r>
        <w:rPr>
          <w:rFonts w:hint="eastAsia" w:ascii="仿宋_GB2312" w:hAnsi="宋体"/>
          <w:bCs/>
          <w:color w:val="000000" w:themeColor="text1"/>
          <w:sz w:val="28"/>
          <w:szCs w:val="28"/>
          <w:lang w:eastAsia="zh-CN"/>
          <w14:textFill>
            <w14:solidFill>
              <w14:schemeClr w14:val="tx1"/>
            </w14:solidFill>
          </w14:textFill>
        </w:rPr>
        <w:t>小</w:t>
      </w:r>
      <w:r>
        <w:rPr>
          <w:rFonts w:hint="eastAsia" w:ascii="仿宋_GB2312" w:hAnsi="宋体"/>
          <w:bCs/>
          <w:color w:val="000000" w:themeColor="text1"/>
          <w:sz w:val="28"/>
          <w:szCs w:val="28"/>
          <w14:textFill>
            <w14:solidFill>
              <w14:schemeClr w14:val="tx1"/>
            </w14:solidFill>
          </w14:textFill>
        </w:rPr>
        <w:t>于60米，装配式楼栋的</w:t>
      </w:r>
      <w:r>
        <w:rPr>
          <w:rFonts w:hint="eastAsia" w:ascii="仿宋_GB2312" w:hAnsi="宋体"/>
          <w:bCs/>
          <w:color w:val="000000" w:themeColor="text1"/>
          <w:sz w:val="28"/>
          <w:szCs w:val="28"/>
          <w:lang w:eastAsia="zh-CN"/>
          <w14:textFill>
            <w14:solidFill>
              <w14:schemeClr w14:val="tx1"/>
            </w14:solidFill>
          </w14:textFill>
        </w:rPr>
        <w:t>总</w:t>
      </w:r>
      <w:r>
        <w:rPr>
          <w:rFonts w:hint="eastAsia" w:ascii="仿宋_GB2312" w:hAnsi="宋体"/>
          <w:bCs/>
          <w:color w:val="000000" w:themeColor="text1"/>
          <w:sz w:val="28"/>
          <w:szCs w:val="28"/>
          <w14:textFill>
            <w14:solidFill>
              <w14:schemeClr w14:val="tx1"/>
            </w14:solidFill>
          </w14:textFill>
        </w:rPr>
        <w:t>计容建筑面积为51736.17</w:t>
      </w:r>
      <w:r>
        <w:rPr>
          <w:rFonts w:hint="eastAsia" w:ascii="仿宋_GB2312" w:hAnsi="宋体"/>
          <w:bCs/>
          <w:color w:val="000000" w:themeColor="text1"/>
          <w:sz w:val="28"/>
          <w:szCs w:val="28"/>
          <w:lang w:eastAsia="zh-CN"/>
          <w14:textFill>
            <w14:solidFill>
              <w14:schemeClr w14:val="tx1"/>
            </w14:solidFill>
          </w14:textFill>
        </w:rPr>
        <w:t>㎡，装配式建筑面积占比为</w:t>
      </w:r>
      <w:r>
        <w:rPr>
          <w:rFonts w:hint="eastAsia" w:ascii="仿宋_GB2312" w:hAnsi="宋体"/>
          <w:bCs/>
          <w:color w:val="000000" w:themeColor="text1"/>
          <w:sz w:val="28"/>
          <w:szCs w:val="28"/>
          <w14:textFill>
            <w14:solidFill>
              <w14:schemeClr w14:val="tx1"/>
            </w14:solidFill>
          </w14:textFill>
        </w:rPr>
        <w:t>51736.17/102341.66=</w:t>
      </w:r>
      <w:r>
        <w:rPr>
          <w:rFonts w:hint="eastAsia" w:ascii="仿宋_GB2312" w:hAnsi="宋体"/>
          <w:bCs/>
          <w:color w:val="000000" w:themeColor="text1"/>
          <w:sz w:val="28"/>
          <w:szCs w:val="28"/>
          <w:lang w:val="en-US" w:eastAsia="zh-CN"/>
          <w14:textFill>
            <w14:solidFill>
              <w14:schemeClr w14:val="tx1"/>
            </w14:solidFill>
          </w14:textFill>
        </w:rPr>
        <w:t>50.55</w:t>
      </w:r>
      <w:r>
        <w:rPr>
          <w:rFonts w:hint="eastAsia" w:ascii="仿宋_GB2312" w:hAnsi="宋体"/>
          <w:bCs/>
          <w:color w:val="000000" w:themeColor="text1"/>
          <w:sz w:val="28"/>
          <w:szCs w:val="28"/>
          <w14:textFill>
            <w14:solidFill>
              <w14:schemeClr w14:val="tx1"/>
            </w14:solidFill>
          </w14:textFill>
        </w:rPr>
        <w:t>%&gt;50%，满足福州市人民政府文件榕政综〔2017〕1164号的相关规定要求。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各单体预制装配内容及预制率详下表：</w:t>
      </w:r>
    </w:p>
    <w:tbl>
      <w:tblPr>
        <w:tblStyle w:val="5"/>
        <w:tblW w:w="9687" w:type="dxa"/>
        <w:jc w:val="center"/>
        <w:tblLayout w:type="fixed"/>
        <w:tblCellMar>
          <w:top w:w="0" w:type="dxa"/>
          <w:left w:w="0" w:type="dxa"/>
          <w:bottom w:w="0" w:type="dxa"/>
          <w:right w:w="0" w:type="dxa"/>
        </w:tblCellMar>
      </w:tblPr>
      <w:tblGrid>
        <w:gridCol w:w="626"/>
        <w:gridCol w:w="912"/>
        <w:gridCol w:w="5462"/>
        <w:gridCol w:w="1338"/>
        <w:gridCol w:w="1349"/>
      </w:tblGrid>
      <w:tr>
        <w:tblPrEx>
          <w:tblCellMar>
            <w:top w:w="0" w:type="dxa"/>
            <w:left w:w="0" w:type="dxa"/>
            <w:bottom w:w="0" w:type="dxa"/>
            <w:right w:w="0" w:type="dxa"/>
          </w:tblCellMar>
        </w:tblPrEx>
        <w:trPr>
          <w:trHeight w:val="9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宋体" w:hAnsi="宋体"/>
                <w:bCs/>
                <w:color w:val="000000" w:themeColor="text1"/>
                <w:sz w:val="24"/>
                <w:szCs w:val="24"/>
                <w14:textFill>
                  <w14:solidFill>
                    <w14:schemeClr w14:val="tx1"/>
                  </w14:solidFill>
                </w14:textFill>
              </w:rPr>
            </w:pPr>
          </w:p>
          <w:p>
            <w:pPr>
              <w:spacing w:line="240" w:lineRule="auto"/>
              <w:jc w:val="center"/>
              <w:rPr>
                <w:rFonts w:ascii="宋体" w:hAnsi="宋体"/>
                <w:bCs/>
                <w:color w:val="000000" w:themeColor="text1"/>
                <w:sz w:val="24"/>
                <w:szCs w:val="24"/>
                <w14:textFill>
                  <w14:solidFill>
                    <w14:schemeClr w14:val="tx1"/>
                  </w14:solidFill>
                </w14:textFill>
              </w:rPr>
            </w:pP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单体名称</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ind w:firstLine="240" w:firstLineChars="100"/>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预制装配内容</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eastAsia="zh-CN"/>
                <w14:textFill>
                  <w14:solidFill>
                    <w14:schemeClr w14:val="tx1"/>
                  </w14:solidFill>
                </w14:textFill>
              </w:rPr>
            </w:pPr>
            <w:r>
              <w:rPr>
                <w:rFonts w:hint="eastAsia" w:ascii="宋体" w:hAnsi="宋体"/>
                <w:bCs/>
                <w:color w:val="000000" w:themeColor="text1"/>
                <w:sz w:val="24"/>
                <w:szCs w:val="24"/>
                <w:lang w:eastAsia="zh-CN"/>
                <w14:textFill>
                  <w14:solidFill>
                    <w14:schemeClr w14:val="tx1"/>
                  </w14:solidFill>
                </w14:textFill>
              </w:rPr>
              <w:t>申请预制率奖励</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eastAsia="zh-CN"/>
                <w14:textFill>
                  <w14:solidFill>
                    <w14:schemeClr w14:val="tx1"/>
                  </w14:solidFill>
                </w14:textFill>
              </w:rPr>
              <w:t>总</w:t>
            </w:r>
            <w:r>
              <w:rPr>
                <w:rFonts w:hint="eastAsia" w:ascii="宋体" w:hAnsi="宋体"/>
                <w:bCs/>
                <w:color w:val="000000" w:themeColor="text1"/>
                <w:sz w:val="24"/>
                <w:szCs w:val="24"/>
                <w14:textFill>
                  <w14:solidFill>
                    <w14:schemeClr w14:val="tx1"/>
                  </w14:solidFill>
                </w14:textFill>
              </w:rPr>
              <w:t>预制率</w:t>
            </w:r>
          </w:p>
        </w:tc>
      </w:tr>
      <w:tr>
        <w:tblPrEx>
          <w:tblCellMar>
            <w:top w:w="0" w:type="dxa"/>
            <w:left w:w="0" w:type="dxa"/>
            <w:bottom w:w="0" w:type="dxa"/>
            <w:right w:w="0" w:type="dxa"/>
          </w:tblCellMar>
        </w:tblPrEx>
        <w:trPr>
          <w:trHeight w:val="591"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14:textFill>
                  <w14:solidFill>
                    <w14:schemeClr w14:val="tx1"/>
                  </w14:solidFill>
                </w14:textFill>
              </w:rPr>
              <w:t>1</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eastAsia="zh-CN"/>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5号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eastAsia="zh-CN"/>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预制叠合板、预制叠合梁、预制楼梯、预制挑板</w:t>
            </w:r>
            <w:r>
              <w:rPr>
                <w:rFonts w:hint="eastAsia" w:ascii="宋体" w:hAnsi="宋体"/>
                <w:bCs/>
                <w:color w:val="000000" w:themeColor="text1"/>
                <w:sz w:val="24"/>
                <w:szCs w:val="24"/>
                <w:lang w:eastAsia="zh-CN"/>
                <w14:textFill>
                  <w14:solidFill>
                    <w14:schemeClr w14:val="tx1"/>
                  </w14:solidFill>
                </w14:textFill>
              </w:rPr>
              <w:t>、预制构造柱、预制过梁、预制内墙板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default"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1.36%</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30.18</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14:textFill>
                  <w14:solidFill>
                    <w14:schemeClr w14:val="tx1"/>
                  </w14:solidFill>
                </w14:textFill>
              </w:rPr>
              <w:t>2</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6号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预制叠合板、预制叠合梁、预制楼梯、预制挑板</w:t>
            </w:r>
            <w:r>
              <w:rPr>
                <w:rFonts w:hint="eastAsia" w:ascii="宋体" w:hAnsi="宋体"/>
                <w:bCs/>
                <w:color w:val="000000" w:themeColor="text1"/>
                <w:sz w:val="24"/>
                <w:szCs w:val="24"/>
                <w:lang w:eastAsia="zh-CN"/>
                <w14:textFill>
                  <w14:solidFill>
                    <w14:schemeClr w14:val="tx1"/>
                  </w14:solidFill>
                </w14:textFill>
              </w:rPr>
              <w:t>、预制构造柱、预制内墙板</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default"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2.69%</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30.12</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14:textFill>
                  <w14:solidFill>
                    <w14:schemeClr w14:val="tx1"/>
                  </w14:solidFill>
                </w14:textFill>
              </w:rPr>
              <w:t>3</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7号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预制叠合板、预制叠合梁、预制楼梯、预制挑板</w:t>
            </w:r>
            <w:r>
              <w:rPr>
                <w:rFonts w:hint="eastAsia" w:ascii="宋体" w:hAnsi="宋体"/>
                <w:bCs/>
                <w:color w:val="000000" w:themeColor="text1"/>
                <w:sz w:val="24"/>
                <w:szCs w:val="24"/>
                <w:lang w:eastAsia="zh-CN"/>
                <w14:textFill>
                  <w14:solidFill>
                    <w14:schemeClr w14:val="tx1"/>
                  </w14:solidFill>
                </w14:textFill>
              </w:rPr>
              <w:t>、预制构造柱</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30.17</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4</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10号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预制叠合板、预制叠合梁、预制楼梯、预制挑板</w:t>
            </w:r>
            <w:r>
              <w:rPr>
                <w:rFonts w:hint="eastAsia" w:ascii="宋体" w:hAnsi="宋体"/>
                <w:bCs/>
                <w:color w:val="000000" w:themeColor="text1"/>
                <w:sz w:val="24"/>
                <w:szCs w:val="24"/>
                <w:lang w:eastAsia="zh-CN"/>
                <w14:textFill>
                  <w14:solidFill>
                    <w14:schemeClr w14:val="tx1"/>
                  </w14:solidFill>
                </w14:textFill>
              </w:rPr>
              <w:t>、预制构造柱</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30.23</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14:textFill>
                  <w14:solidFill>
                    <w14:schemeClr w14:val="tx1"/>
                  </w14:solidFill>
                </w14:textFill>
              </w:rPr>
              <w:t>5</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12号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30.60</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34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6</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13号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31.74</w:t>
            </w:r>
            <w:r>
              <w:rPr>
                <w:rFonts w:hint="eastAsia" w:ascii="宋体" w:hAnsi="宋体"/>
                <w:bCs/>
                <w:color w:val="000000" w:themeColor="text1"/>
                <w:sz w:val="24"/>
                <w:szCs w:val="24"/>
                <w14:textFill>
                  <w14:solidFill>
                    <w14:schemeClr w14:val="tx1"/>
                  </w14:solidFill>
                </w14:textFill>
              </w:rPr>
              <w:t>%</w:t>
            </w:r>
          </w:p>
        </w:tc>
      </w:tr>
      <w:tr>
        <w:tblPrEx>
          <w:tblCellMar>
            <w:top w:w="0" w:type="dxa"/>
            <w:left w:w="0" w:type="dxa"/>
            <w:bottom w:w="0" w:type="dxa"/>
            <w:right w:w="0" w:type="dxa"/>
          </w:tblCellMar>
        </w:tblPrEx>
        <w:trPr>
          <w:trHeight w:val="90" w:hRule="atLeast"/>
          <w:jc w:val="center"/>
        </w:trPr>
        <w:tc>
          <w:tcPr>
            <w:tcW w:w="626" w:type="dxa"/>
            <w:tcBorders>
              <w:top w:val="single" w:color="000000" w:sz="8" w:space="0"/>
              <w:left w:val="single" w:color="000000" w:sz="8" w:space="0"/>
              <w:bottom w:val="single" w:color="000000" w:sz="8" w:space="0"/>
              <w:right w:val="single" w:color="000000" w:sz="8" w:space="0"/>
            </w:tcBorders>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ascii="仿宋_GB2312" w:hAnsi="宋体"/>
                <w:bCs/>
                <w:color w:val="000000" w:themeColor="text1"/>
                <w:sz w:val="24"/>
                <w:szCs w:val="24"/>
                <w14:textFill>
                  <w14:solidFill>
                    <w14:schemeClr w14:val="tx1"/>
                  </w14:solidFill>
                </w14:textFill>
              </w:rPr>
              <w:t>7</w:t>
            </w:r>
          </w:p>
        </w:tc>
        <w:tc>
          <w:tcPr>
            <w:tcW w:w="91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仿宋_GB2312" w:hAnsi="宋体"/>
                <w:bCs/>
                <w:color w:val="000000" w:themeColor="text1"/>
                <w:sz w:val="24"/>
                <w:szCs w:val="24"/>
                <w14:textFill>
                  <w14:solidFill>
                    <w14:schemeClr w14:val="tx1"/>
                  </w14:solidFill>
                </w14:textFill>
              </w:rPr>
            </w:pPr>
            <w:r>
              <w:rPr>
                <w:rFonts w:hint="eastAsia" w:ascii="仿宋_GB2312" w:hAnsi="宋体"/>
                <w:bCs/>
                <w:color w:val="000000" w:themeColor="text1"/>
                <w:sz w:val="24"/>
                <w:szCs w:val="24"/>
                <w:lang w:val="en-US" w:eastAsia="zh-CN"/>
                <w14:textFill>
                  <w14:solidFill>
                    <w14:schemeClr w14:val="tx1"/>
                  </w14:solidFill>
                </w14:textFill>
              </w:rPr>
              <w:t>16号</w:t>
            </w:r>
          </w:p>
        </w:tc>
        <w:tc>
          <w:tcPr>
            <w:tcW w:w="5462"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预制叠合板、预制叠合梁</w:t>
            </w:r>
          </w:p>
        </w:tc>
        <w:tc>
          <w:tcPr>
            <w:tcW w:w="133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hint="eastAsia" w:ascii="宋体" w:hAnsi="宋体" w:eastAsia="仿宋_GB2312"/>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w:t>
            </w:r>
          </w:p>
        </w:tc>
        <w:tc>
          <w:tcPr>
            <w:tcW w:w="1349"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240" w:lineRule="auto"/>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30.38</w:t>
            </w:r>
            <w:r>
              <w:rPr>
                <w:rFonts w:hint="eastAsia" w:ascii="宋体" w:hAnsi="宋体"/>
                <w:bCs/>
                <w:color w:val="000000" w:themeColor="text1"/>
                <w:sz w:val="24"/>
                <w:szCs w:val="24"/>
                <w14:textFill>
                  <w14:solidFill>
                    <w14:schemeClr w14:val="tx1"/>
                  </w14:solidFill>
                </w14:textFill>
              </w:rPr>
              <w:t>%</w:t>
            </w:r>
          </w:p>
        </w:tc>
      </w:tr>
    </w:tbl>
    <w:p>
      <w:pPr>
        <w:spacing w:line="540" w:lineRule="exact"/>
        <w:ind w:firstLine="560" w:firstLineChars="200"/>
        <w:jc w:val="left"/>
        <w:rPr>
          <w:rFonts w:hint="default" w:ascii="仿宋_GB2312" w:hAnsi="宋体"/>
          <w:bCs/>
          <w:color w:val="000000" w:themeColor="text1"/>
          <w:sz w:val="28"/>
          <w:szCs w:val="28"/>
          <w:lang w:val="en-US" w:eastAsia="zh-CN"/>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本工程施工图设计文件已通过审图机构审查。审查机构：福建省建科院施工图审查有限公司，合格证</w:t>
      </w:r>
      <w:r>
        <w:rPr>
          <w:rFonts w:hint="eastAsia" w:ascii="仿宋_GB2312" w:hAnsi="宋体"/>
          <w:bCs/>
          <w:color w:val="000000" w:themeColor="text1"/>
          <w:sz w:val="28"/>
          <w:szCs w:val="28"/>
          <w:lang w:eastAsia="zh-CN"/>
          <w14:textFill>
            <w14:solidFill>
              <w14:schemeClr w14:val="tx1"/>
            </w14:solidFill>
          </w14:textFill>
        </w:rPr>
        <w:t>编</w:t>
      </w:r>
      <w:r>
        <w:rPr>
          <w:rFonts w:hint="eastAsia" w:ascii="仿宋_GB2312" w:hAnsi="宋体"/>
          <w:bCs/>
          <w:color w:val="000000" w:themeColor="text1"/>
          <w:sz w:val="28"/>
          <w:szCs w:val="28"/>
          <w14:textFill>
            <w14:solidFill>
              <w14:schemeClr w14:val="tx1"/>
            </w14:solidFill>
          </w14:textFill>
        </w:rPr>
        <w:t>号:</w:t>
      </w:r>
      <w:r>
        <w:rPr>
          <w:rFonts w:hint="eastAsia" w:ascii="仿宋_GB2312" w:hAnsi="宋体"/>
          <w:bCs/>
          <w:color w:val="000000" w:themeColor="text1"/>
          <w:sz w:val="28"/>
          <w:szCs w:val="28"/>
          <w:lang w:val="en-US" w:eastAsia="zh-CN"/>
          <w14:textFill>
            <w14:solidFill>
              <w14:schemeClr w14:val="tx1"/>
            </w14:solidFill>
          </w14:textFill>
        </w:rPr>
        <w:t>3501001910180310-TX-00</w:t>
      </w:r>
    </w:p>
    <w:p>
      <w:pPr>
        <w:spacing w:line="540" w:lineRule="exact"/>
        <w:jc w:val="left"/>
        <w:rPr>
          <w:rFonts w:ascii="仿宋_GB2312"/>
          <w:color w:val="000000" w:themeColor="text1"/>
          <w:sz w:val="24"/>
          <w:szCs w:val="22"/>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9</w:t>
      </w:r>
      <w:r>
        <w:rPr>
          <w:rFonts w:hint="eastAsia" w:ascii="仿宋_GB2312" w:hAnsi="宋体"/>
          <w:bCs/>
          <w:color w:val="000000" w:themeColor="text1"/>
          <w:sz w:val="28"/>
          <w:szCs w:val="28"/>
          <w14:textFill>
            <w14:solidFill>
              <w14:schemeClr w14:val="tx1"/>
            </w14:solidFill>
          </w14:textFill>
        </w:rPr>
        <w:t>。</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与会专家及相关职能部门领导听取了福建博宇建筑设计有限公司及建设单位对本工程的介绍，经会议研究讨论，形成以下意见：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(1) 本工程预制面积不小于总建筑面积计容部分的50%，装配式楼栋的建筑高度均小于60米，预制率不小于</w:t>
      </w:r>
      <w:r>
        <w:rPr>
          <w:rFonts w:ascii="仿宋_GB2312" w:hAnsi="宋体"/>
          <w:bCs/>
          <w:color w:val="000000" w:themeColor="text1"/>
          <w:sz w:val="28"/>
          <w:szCs w:val="28"/>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0%，满足福州市人民政府文件榕政综〔2017〕1164号的相关规定。</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 本工程装配式结构设计符合《福建省工业化建筑认定管理（试行）办法》的相关规定，同意本工程设计阶段认定为工业化建筑。</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与会专家意见如下：</w:t>
      </w:r>
    </w:p>
    <w:p>
      <w:pPr>
        <w:numPr>
          <w:ilvl w:val="0"/>
          <w:numId w:val="1"/>
        </w:numPr>
        <w:spacing w:line="490" w:lineRule="exact"/>
        <w:ind w:firstLine="560" w:firstLineChars="200"/>
        <w:rPr>
          <w:rFonts w:hint="eastAsia" w:ascii="仿宋" w:hAnsi="仿宋" w:eastAsia="仿宋"/>
          <w:color w:val="auto"/>
          <w:sz w:val="28"/>
          <w:szCs w:val="28"/>
          <w:lang w:eastAsia="zh-CN"/>
        </w:rPr>
      </w:pPr>
      <w:r>
        <w:rPr>
          <w:rFonts w:hint="eastAsia" w:ascii="仿宋" w:hAnsi="仿宋" w:eastAsia="仿宋"/>
          <w:color w:val="auto"/>
          <w:sz w:val="28"/>
          <w:szCs w:val="28"/>
          <w:lang w:eastAsia="zh-CN"/>
        </w:rPr>
        <w:t>结构施工图纸应补充预制叠合梁端部的抗剪加强构造做法，并补充送审；</w:t>
      </w:r>
    </w:p>
    <w:p>
      <w:pPr>
        <w:numPr>
          <w:ilvl w:val="0"/>
          <w:numId w:val="1"/>
        </w:numPr>
        <w:spacing w:line="490" w:lineRule="exact"/>
        <w:ind w:firstLine="560" w:firstLineChars="200"/>
        <w:rPr>
          <w:rFonts w:hint="eastAsia" w:ascii="仿宋_GB2312" w:hAnsi="宋体"/>
          <w:bCs/>
          <w:color w:val="auto"/>
          <w:sz w:val="28"/>
          <w:szCs w:val="28"/>
        </w:rPr>
      </w:pPr>
      <w:r>
        <w:rPr>
          <w:rFonts w:hint="eastAsia" w:ascii="仿宋" w:hAnsi="仿宋" w:eastAsia="仿宋"/>
          <w:color w:val="auto"/>
          <w:sz w:val="28"/>
          <w:szCs w:val="28"/>
          <w:lang w:eastAsia="zh-CN"/>
        </w:rPr>
        <w:t>预制构造柱应按抗震规范中非结构构件相关要求验算，补充相关构造大样，并补充送审。</w:t>
      </w:r>
    </w:p>
    <w:p>
      <w:pPr>
        <w:pStyle w:val="10"/>
        <w:spacing w:line="490" w:lineRule="exact"/>
        <w:ind w:left="1280" w:firstLine="0" w:firstLineChars="0"/>
        <w:rPr>
          <w:rFonts w:ascii="仿宋_GB2312" w:hAnsi="宋体"/>
          <w:bCs/>
          <w:color w:val="000000" w:themeColor="text1"/>
          <w:sz w:val="28"/>
          <w:szCs w:val="28"/>
          <w14:textFill>
            <w14:solidFill>
              <w14:schemeClr w14:val="tx1"/>
            </w14:solidFill>
          </w14:textFill>
        </w:rPr>
      </w:pPr>
    </w:p>
    <w:p>
      <w:pPr>
        <w:spacing w:line="500" w:lineRule="exact"/>
        <w:rPr>
          <w:rFonts w:hint="eastAsia"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widowControl/>
        <w:spacing w:line="500" w:lineRule="exact"/>
        <w:jc w:val="left"/>
        <w:rPr>
          <w:rFonts w:hint="eastAsia" w:ascii="仿宋_GB2312" w:hAnsi="宋体" w:eastAsia="仿宋_GB2312"/>
          <w:bCs/>
          <w:color w:val="000000" w:themeColor="text1"/>
          <w:sz w:val="28"/>
          <w:szCs w:val="28"/>
          <w:lang w:eastAsia="zh-CN"/>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福建省建筑设计研究院</w:t>
      </w:r>
      <w:r>
        <w:rPr>
          <w:rFonts w:hint="eastAsia"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任</w:t>
      </w: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彧</w:t>
      </w:r>
      <w:r>
        <w:rPr>
          <w:rFonts w:hint="eastAsia"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28"/>
          <w:szCs w:val="28"/>
          <w:lang w:eastAsia="zh-CN"/>
          <w14:textFill>
            <w14:solidFill>
              <w14:schemeClr w14:val="tx1"/>
            </w14:solidFill>
          </w14:textFill>
        </w:rPr>
        <w:t>教授级高工</w:t>
      </w: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福建正博建筑科技有限公司              林珠清  总工</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福建经福建筑设计工程有限公司</w:t>
      </w:r>
      <w:r>
        <w:rPr>
          <w:rFonts w:hint="eastAsia" w:ascii="仿宋_GB2312" w:hAnsi="宋体"/>
          <w:bCs/>
          <w:color w:val="000000" w:themeColor="text1"/>
          <w:sz w:val="28"/>
          <w:szCs w:val="28"/>
          <w14:textFill>
            <w14:solidFill>
              <w14:schemeClr w14:val="tx1"/>
            </w14:solidFill>
          </w14:textFill>
        </w:rPr>
        <w:t xml:space="preserve">          石晓航  </w:t>
      </w:r>
      <w:r>
        <w:rPr>
          <w:rFonts w:hint="eastAsia" w:ascii="仿宋_GB2312" w:hAnsi="宋体"/>
          <w:bCs/>
          <w:color w:val="000000" w:themeColor="text1"/>
          <w:sz w:val="28"/>
          <w:szCs w:val="28"/>
          <w:lang w:val="en-US" w:eastAsia="zh-CN"/>
          <w14:textFill>
            <w14:solidFill>
              <w14:schemeClr w14:val="tx1"/>
            </w14:solidFill>
          </w14:textFill>
        </w:rPr>
        <w:t>总工</w:t>
      </w: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p>
    <w:p>
      <w:pPr>
        <w:widowControl/>
        <w:spacing w:line="500" w:lineRule="exact"/>
        <w:jc w:val="left"/>
        <w:rPr>
          <w:rFonts w:ascii="仿宋_GB2312" w:hAnsi="宋体"/>
          <w:bCs/>
          <w:color w:val="000000" w:themeColor="text1"/>
          <w:sz w:val="28"/>
          <w:szCs w:val="28"/>
          <w14:textFill>
            <w14:solidFill>
              <w14:schemeClr w14:val="tx1"/>
            </w14:solidFill>
          </w14:textFill>
        </w:rPr>
      </w:pPr>
    </w:p>
    <w:p>
      <w:pPr>
        <w:wordWrap w:val="0"/>
        <w:spacing w:line="560" w:lineRule="exact"/>
        <w:ind w:right="160"/>
        <w:jc w:val="righ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32"/>
          <w:szCs w:val="32"/>
          <w14:textFill>
            <w14:solidFill>
              <w14:schemeClr w14:val="tx1"/>
            </w14:solidFill>
          </w14:textFill>
        </w:rPr>
        <w:t xml:space="preserve">2019年 </w:t>
      </w:r>
      <w:r>
        <w:rPr>
          <w:rFonts w:hint="eastAsia" w:ascii="仿宋_GB2312" w:hAnsi="宋体"/>
          <w:bCs/>
          <w:color w:val="000000" w:themeColor="text1"/>
          <w:sz w:val="32"/>
          <w:szCs w:val="32"/>
          <w:lang w:val="en-US" w:eastAsia="zh-CN"/>
          <w14:textFill>
            <w14:solidFill>
              <w14:schemeClr w14:val="tx1"/>
            </w14:solidFill>
          </w14:textFill>
        </w:rPr>
        <w:t>12</w:t>
      </w:r>
      <w:r>
        <w:rPr>
          <w:rFonts w:hint="eastAsia" w:ascii="仿宋_GB2312" w:hAnsi="宋体"/>
          <w:bCs/>
          <w:color w:val="000000" w:themeColor="text1"/>
          <w:sz w:val="32"/>
          <w:szCs w:val="32"/>
          <w14:textFill>
            <w14:solidFill>
              <w14:schemeClr w14:val="tx1"/>
            </w14:solidFill>
          </w14:textFill>
        </w:rPr>
        <w:t>月</w:t>
      </w:r>
      <w:r>
        <w:rPr>
          <w:rFonts w:hint="eastAsia" w:ascii="仿宋_GB2312" w:hAnsi="宋体"/>
          <w:bCs/>
          <w:color w:val="000000" w:themeColor="text1"/>
          <w:sz w:val="32"/>
          <w:szCs w:val="32"/>
          <w:lang w:val="en-US" w:eastAsia="zh-CN"/>
          <w14:textFill>
            <w14:solidFill>
              <w14:schemeClr w14:val="tx1"/>
            </w14:solidFill>
          </w14:textFill>
        </w:rPr>
        <w:t>04</w:t>
      </w:r>
      <w:r>
        <w:rPr>
          <w:rFonts w:hint="eastAsia" w:ascii="仿宋_GB2312" w:hAnsi="宋体"/>
          <w:bCs/>
          <w:color w:val="000000" w:themeColor="text1"/>
          <w:sz w:val="32"/>
          <w:szCs w:val="32"/>
          <w14:textFill>
            <w14:solidFill>
              <w14:schemeClr w14:val="tx1"/>
            </w14:solidFill>
          </w14:textFill>
        </w:rPr>
        <w:t>日</w:t>
      </w:r>
      <w:bookmarkStart w:id="0" w:name="_GoBack"/>
      <w:bookmarkEnd w:id="0"/>
    </w:p>
    <w:p>
      <w:pPr>
        <w:wordWrap w:val="0"/>
        <w:spacing w:line="560" w:lineRule="exact"/>
        <w:jc w:val="right"/>
        <w:rPr>
          <w:rFonts w:ascii="仿宋_GB2312" w:hAnsi="宋体"/>
          <w:bCs/>
          <w:color w:val="000000" w:themeColor="text1"/>
          <w:sz w:val="32"/>
          <w:szCs w:val="32"/>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AC4D8"/>
    <w:multiLevelType w:val="singleLevel"/>
    <w:tmpl w:val="1D5AC4D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31127"/>
    <w:rsid w:val="0004477B"/>
    <w:rsid w:val="00047EB2"/>
    <w:rsid w:val="0007069E"/>
    <w:rsid w:val="00077D10"/>
    <w:rsid w:val="000D1E2F"/>
    <w:rsid w:val="0010062D"/>
    <w:rsid w:val="00102AA7"/>
    <w:rsid w:val="001033B3"/>
    <w:rsid w:val="0010602A"/>
    <w:rsid w:val="00126E41"/>
    <w:rsid w:val="00132E0C"/>
    <w:rsid w:val="0014787D"/>
    <w:rsid w:val="0017310D"/>
    <w:rsid w:val="00194C1F"/>
    <w:rsid w:val="001E26E0"/>
    <w:rsid w:val="001F36AF"/>
    <w:rsid w:val="001F6650"/>
    <w:rsid w:val="00201A39"/>
    <w:rsid w:val="002276C6"/>
    <w:rsid w:val="002564A1"/>
    <w:rsid w:val="0027394F"/>
    <w:rsid w:val="00275F6B"/>
    <w:rsid w:val="002F1876"/>
    <w:rsid w:val="00313EDE"/>
    <w:rsid w:val="00336B4A"/>
    <w:rsid w:val="00386DC6"/>
    <w:rsid w:val="00395FE2"/>
    <w:rsid w:val="003B19E1"/>
    <w:rsid w:val="003C3DA3"/>
    <w:rsid w:val="003C5583"/>
    <w:rsid w:val="003F1080"/>
    <w:rsid w:val="003F29B4"/>
    <w:rsid w:val="00401717"/>
    <w:rsid w:val="00401DC9"/>
    <w:rsid w:val="00405489"/>
    <w:rsid w:val="004134B0"/>
    <w:rsid w:val="00452851"/>
    <w:rsid w:val="00454C02"/>
    <w:rsid w:val="00470502"/>
    <w:rsid w:val="00470F87"/>
    <w:rsid w:val="00472DE0"/>
    <w:rsid w:val="00473323"/>
    <w:rsid w:val="00497AC5"/>
    <w:rsid w:val="004B0A0F"/>
    <w:rsid w:val="004C1189"/>
    <w:rsid w:val="004D662F"/>
    <w:rsid w:val="004E0F00"/>
    <w:rsid w:val="00501F00"/>
    <w:rsid w:val="00542F98"/>
    <w:rsid w:val="00552FBD"/>
    <w:rsid w:val="00570225"/>
    <w:rsid w:val="005933D1"/>
    <w:rsid w:val="00593FED"/>
    <w:rsid w:val="005A4799"/>
    <w:rsid w:val="005B1F0A"/>
    <w:rsid w:val="005C24E9"/>
    <w:rsid w:val="005C70D8"/>
    <w:rsid w:val="005D20BF"/>
    <w:rsid w:val="005D5E31"/>
    <w:rsid w:val="005E4295"/>
    <w:rsid w:val="006207BF"/>
    <w:rsid w:val="00637807"/>
    <w:rsid w:val="006700FC"/>
    <w:rsid w:val="00672469"/>
    <w:rsid w:val="00683C5D"/>
    <w:rsid w:val="006917C5"/>
    <w:rsid w:val="0069432D"/>
    <w:rsid w:val="006A2D8E"/>
    <w:rsid w:val="006B3BF2"/>
    <w:rsid w:val="006E5018"/>
    <w:rsid w:val="006E72C0"/>
    <w:rsid w:val="00716E46"/>
    <w:rsid w:val="00720B01"/>
    <w:rsid w:val="007244D2"/>
    <w:rsid w:val="00725480"/>
    <w:rsid w:val="0076048A"/>
    <w:rsid w:val="00764349"/>
    <w:rsid w:val="007667C3"/>
    <w:rsid w:val="007877E5"/>
    <w:rsid w:val="007B001B"/>
    <w:rsid w:val="007B100A"/>
    <w:rsid w:val="007C0C62"/>
    <w:rsid w:val="007C41FD"/>
    <w:rsid w:val="007C5C37"/>
    <w:rsid w:val="007C5D22"/>
    <w:rsid w:val="007D542A"/>
    <w:rsid w:val="007F3ADF"/>
    <w:rsid w:val="007F43ED"/>
    <w:rsid w:val="007F7AD2"/>
    <w:rsid w:val="007F7F01"/>
    <w:rsid w:val="00835B9B"/>
    <w:rsid w:val="00835E6E"/>
    <w:rsid w:val="008453FD"/>
    <w:rsid w:val="00871BF4"/>
    <w:rsid w:val="00881ECF"/>
    <w:rsid w:val="00892760"/>
    <w:rsid w:val="008A5380"/>
    <w:rsid w:val="008C0A7F"/>
    <w:rsid w:val="008C6CDB"/>
    <w:rsid w:val="008D0CE4"/>
    <w:rsid w:val="008E68D6"/>
    <w:rsid w:val="008E7AA0"/>
    <w:rsid w:val="008F443E"/>
    <w:rsid w:val="008F4FA7"/>
    <w:rsid w:val="00977FE9"/>
    <w:rsid w:val="00996017"/>
    <w:rsid w:val="009B0975"/>
    <w:rsid w:val="009B5AEA"/>
    <w:rsid w:val="009C1334"/>
    <w:rsid w:val="009D0729"/>
    <w:rsid w:val="009D74D2"/>
    <w:rsid w:val="009E3C0B"/>
    <w:rsid w:val="009F3F01"/>
    <w:rsid w:val="00A06890"/>
    <w:rsid w:val="00A127BF"/>
    <w:rsid w:val="00A328CF"/>
    <w:rsid w:val="00A51CE5"/>
    <w:rsid w:val="00A57202"/>
    <w:rsid w:val="00A579A0"/>
    <w:rsid w:val="00A65FA3"/>
    <w:rsid w:val="00A87BC2"/>
    <w:rsid w:val="00A940B7"/>
    <w:rsid w:val="00AC2DF1"/>
    <w:rsid w:val="00B00E2C"/>
    <w:rsid w:val="00B161FE"/>
    <w:rsid w:val="00B23714"/>
    <w:rsid w:val="00B331D6"/>
    <w:rsid w:val="00B37156"/>
    <w:rsid w:val="00B46B58"/>
    <w:rsid w:val="00B61F59"/>
    <w:rsid w:val="00B667C5"/>
    <w:rsid w:val="00B82041"/>
    <w:rsid w:val="00B97844"/>
    <w:rsid w:val="00BD3D08"/>
    <w:rsid w:val="00BE7F9D"/>
    <w:rsid w:val="00BF7DEB"/>
    <w:rsid w:val="00C04DA3"/>
    <w:rsid w:val="00C06CF4"/>
    <w:rsid w:val="00C31A6B"/>
    <w:rsid w:val="00C5093B"/>
    <w:rsid w:val="00C518AD"/>
    <w:rsid w:val="00C643A8"/>
    <w:rsid w:val="00C65907"/>
    <w:rsid w:val="00C9015F"/>
    <w:rsid w:val="00CA6D8C"/>
    <w:rsid w:val="00CB3DB3"/>
    <w:rsid w:val="00CF2E1A"/>
    <w:rsid w:val="00D0565A"/>
    <w:rsid w:val="00D12B36"/>
    <w:rsid w:val="00D206DF"/>
    <w:rsid w:val="00D21431"/>
    <w:rsid w:val="00D81B07"/>
    <w:rsid w:val="00D863FF"/>
    <w:rsid w:val="00DA012F"/>
    <w:rsid w:val="00DC1D70"/>
    <w:rsid w:val="00DE251E"/>
    <w:rsid w:val="00DF3095"/>
    <w:rsid w:val="00E3475D"/>
    <w:rsid w:val="00E53EAD"/>
    <w:rsid w:val="00E678F1"/>
    <w:rsid w:val="00E9304E"/>
    <w:rsid w:val="00E97743"/>
    <w:rsid w:val="00EB3C07"/>
    <w:rsid w:val="00EC3F63"/>
    <w:rsid w:val="00EC740C"/>
    <w:rsid w:val="00EE00A5"/>
    <w:rsid w:val="00F06F3C"/>
    <w:rsid w:val="00F26D4E"/>
    <w:rsid w:val="00F411CB"/>
    <w:rsid w:val="00F506C3"/>
    <w:rsid w:val="00F52922"/>
    <w:rsid w:val="00F56423"/>
    <w:rsid w:val="00F57DBB"/>
    <w:rsid w:val="00F75491"/>
    <w:rsid w:val="00FA4649"/>
    <w:rsid w:val="00FC00F3"/>
    <w:rsid w:val="00FF57E2"/>
    <w:rsid w:val="01854146"/>
    <w:rsid w:val="02AD602F"/>
    <w:rsid w:val="02AF00B3"/>
    <w:rsid w:val="02CE7EAB"/>
    <w:rsid w:val="03151AC3"/>
    <w:rsid w:val="06B17687"/>
    <w:rsid w:val="0860640D"/>
    <w:rsid w:val="0BF36FF7"/>
    <w:rsid w:val="0C364933"/>
    <w:rsid w:val="0C540555"/>
    <w:rsid w:val="0D7350F2"/>
    <w:rsid w:val="0FEB62E3"/>
    <w:rsid w:val="10527066"/>
    <w:rsid w:val="12750247"/>
    <w:rsid w:val="130B3D11"/>
    <w:rsid w:val="147C11FC"/>
    <w:rsid w:val="14B053A7"/>
    <w:rsid w:val="1539655D"/>
    <w:rsid w:val="15F0183D"/>
    <w:rsid w:val="16940223"/>
    <w:rsid w:val="181025D6"/>
    <w:rsid w:val="1A4816C0"/>
    <w:rsid w:val="1A4C6BBB"/>
    <w:rsid w:val="1C471301"/>
    <w:rsid w:val="1DC21729"/>
    <w:rsid w:val="1DCC4B11"/>
    <w:rsid w:val="1FA3511C"/>
    <w:rsid w:val="2114547D"/>
    <w:rsid w:val="222375F7"/>
    <w:rsid w:val="227F5EAB"/>
    <w:rsid w:val="2304780B"/>
    <w:rsid w:val="25297BA2"/>
    <w:rsid w:val="27C5207C"/>
    <w:rsid w:val="288A2A7D"/>
    <w:rsid w:val="29F13054"/>
    <w:rsid w:val="2A763612"/>
    <w:rsid w:val="2E0E3CD2"/>
    <w:rsid w:val="2EB441D0"/>
    <w:rsid w:val="32AA10B9"/>
    <w:rsid w:val="35FF5A86"/>
    <w:rsid w:val="36307512"/>
    <w:rsid w:val="36520928"/>
    <w:rsid w:val="36CC4C76"/>
    <w:rsid w:val="370016E2"/>
    <w:rsid w:val="38A1306C"/>
    <w:rsid w:val="39BA2A24"/>
    <w:rsid w:val="3A957C68"/>
    <w:rsid w:val="3BDA5482"/>
    <w:rsid w:val="3C4A2BDA"/>
    <w:rsid w:val="3DDE15E1"/>
    <w:rsid w:val="3E612243"/>
    <w:rsid w:val="3FF52BA4"/>
    <w:rsid w:val="42984D94"/>
    <w:rsid w:val="42DF3068"/>
    <w:rsid w:val="43B66D3F"/>
    <w:rsid w:val="43CC6C26"/>
    <w:rsid w:val="43F97E07"/>
    <w:rsid w:val="452C451B"/>
    <w:rsid w:val="486662B1"/>
    <w:rsid w:val="48DB0A9A"/>
    <w:rsid w:val="495070E8"/>
    <w:rsid w:val="49604A66"/>
    <w:rsid w:val="4BB20089"/>
    <w:rsid w:val="4C1A4DC8"/>
    <w:rsid w:val="4C6B4EF9"/>
    <w:rsid w:val="4D026D32"/>
    <w:rsid w:val="4D2C74CB"/>
    <w:rsid w:val="4FE64EF3"/>
    <w:rsid w:val="504A0E65"/>
    <w:rsid w:val="50675880"/>
    <w:rsid w:val="50C51AFA"/>
    <w:rsid w:val="50F950F8"/>
    <w:rsid w:val="51D80761"/>
    <w:rsid w:val="53083639"/>
    <w:rsid w:val="539A53CE"/>
    <w:rsid w:val="54686BAD"/>
    <w:rsid w:val="54AD579F"/>
    <w:rsid w:val="5A7A1531"/>
    <w:rsid w:val="5B9E0AC4"/>
    <w:rsid w:val="5C040C64"/>
    <w:rsid w:val="5D2141E0"/>
    <w:rsid w:val="5D633F30"/>
    <w:rsid w:val="5F291774"/>
    <w:rsid w:val="5F43625E"/>
    <w:rsid w:val="5F6E2F1E"/>
    <w:rsid w:val="5FED1447"/>
    <w:rsid w:val="60FC3854"/>
    <w:rsid w:val="62064B2C"/>
    <w:rsid w:val="62CA3B2A"/>
    <w:rsid w:val="65462B98"/>
    <w:rsid w:val="65DA0EDC"/>
    <w:rsid w:val="66F2063F"/>
    <w:rsid w:val="672D4B1D"/>
    <w:rsid w:val="67706920"/>
    <w:rsid w:val="678F5EDC"/>
    <w:rsid w:val="67D60C4A"/>
    <w:rsid w:val="686B09A7"/>
    <w:rsid w:val="68850F92"/>
    <w:rsid w:val="6B2D53B2"/>
    <w:rsid w:val="6BC6086A"/>
    <w:rsid w:val="6C26114A"/>
    <w:rsid w:val="6E242CF9"/>
    <w:rsid w:val="722828EB"/>
    <w:rsid w:val="72C055D8"/>
    <w:rsid w:val="74742163"/>
    <w:rsid w:val="75E959AD"/>
    <w:rsid w:val="78E95987"/>
    <w:rsid w:val="793C11AE"/>
    <w:rsid w:val="7A6F2CDF"/>
    <w:rsid w:val="7B0336F0"/>
    <w:rsid w:val="7B2D19F1"/>
    <w:rsid w:val="7BA65465"/>
    <w:rsid w:val="7BF417FA"/>
    <w:rsid w:val="7C6B473E"/>
    <w:rsid w:val="7C9C3B46"/>
    <w:rsid w:val="7CD24105"/>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福州市建筑设计院</Company>
  <Pages>3</Pages>
  <Words>336</Words>
  <Characters>1918</Characters>
  <Lines>15</Lines>
  <Paragraphs>4</Paragraphs>
  <TotalTime>0</TotalTime>
  <ScaleCrop>false</ScaleCrop>
  <LinksUpToDate>false</LinksUpToDate>
  <CharactersWithSpaces>2250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lanth</cp:lastModifiedBy>
  <dcterms:modified xsi:type="dcterms:W3CDTF">2019-12-25T03:18:05Z</dcterms:modified>
  <dc:title>福兴经济开发区提升改造项目C1地块</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