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Cs/>
          <w:color w:val="000000" w:themeColor="text1"/>
          <w:sz w:val="36"/>
          <w:szCs w:val="36"/>
          <w14:textFill>
            <w14:solidFill>
              <w14:schemeClr w14:val="tx1"/>
            </w14:solidFill>
          </w14:textFill>
        </w:rPr>
      </w:pPr>
      <w:r>
        <w:rPr>
          <w:rFonts w:hint="eastAsia" w:ascii="黑体" w:hAnsi="黑体" w:eastAsia="黑体"/>
          <w:bCs/>
          <w:color w:val="000000" w:themeColor="text1"/>
          <w:sz w:val="36"/>
          <w:szCs w:val="36"/>
          <w14:textFill>
            <w14:solidFill>
              <w14:schemeClr w14:val="tx1"/>
            </w14:solidFill>
          </w14:textFill>
        </w:rPr>
        <w:t>“</w:t>
      </w:r>
      <w:r>
        <w:rPr>
          <w:rFonts w:hint="eastAsia" w:ascii="黑体" w:hAnsi="黑体" w:eastAsia="黑体"/>
          <w:bCs/>
          <w:color w:val="000000" w:themeColor="text1"/>
          <w:sz w:val="36"/>
          <w:szCs w:val="36"/>
          <w:lang w:val="en-US" w:eastAsia="zh-CN"/>
          <w14:textFill>
            <w14:solidFill>
              <w14:schemeClr w14:val="tx1"/>
            </w14:solidFill>
          </w14:textFill>
        </w:rPr>
        <w:t>璟云公馆</w:t>
      </w:r>
      <w:r>
        <w:rPr>
          <w:rFonts w:hint="eastAsia" w:ascii="黑体" w:hAnsi="黑体" w:eastAsia="黑体"/>
          <w:bCs/>
          <w:color w:val="000000" w:themeColor="text1"/>
          <w:sz w:val="36"/>
          <w:szCs w:val="36"/>
          <w14:textFill>
            <w14:solidFill>
              <w14:schemeClr w14:val="tx1"/>
            </w14:solidFill>
          </w14:textFill>
        </w:rPr>
        <w:t>”项目1#、2#、3#、5#、5-1#、17#楼</w:t>
      </w:r>
    </w:p>
    <w:p>
      <w:pPr>
        <w:jc w:val="center"/>
        <w:rPr>
          <w:rFonts w:ascii="黑体" w:hAnsi="黑体" w:eastAsia="黑体"/>
          <w:bCs/>
          <w:color w:val="000000" w:themeColor="text1"/>
          <w:sz w:val="36"/>
          <w:szCs w:val="36"/>
          <w14:textFill>
            <w14:solidFill>
              <w14:schemeClr w14:val="tx1"/>
            </w14:solidFill>
          </w14:textFill>
        </w:rPr>
      </w:pPr>
      <w:r>
        <w:rPr>
          <w:rFonts w:hint="eastAsia" w:ascii="黑体" w:hAnsi="黑体" w:eastAsia="黑体"/>
          <w:bCs/>
          <w:color w:val="000000" w:themeColor="text1"/>
          <w:sz w:val="36"/>
          <w:szCs w:val="36"/>
          <w:lang w:val="en-US" w:eastAsia="zh-CN"/>
          <w14:textFill>
            <w14:solidFill>
              <w14:schemeClr w14:val="tx1"/>
            </w14:solidFill>
          </w14:textFill>
        </w:rPr>
        <w:t>装配式</w:t>
      </w:r>
      <w:r>
        <w:rPr>
          <w:rFonts w:hint="eastAsia" w:ascii="黑体" w:hAnsi="黑体" w:eastAsia="黑体"/>
          <w:bCs/>
          <w:color w:val="000000" w:themeColor="text1"/>
          <w:sz w:val="36"/>
          <w:szCs w:val="36"/>
          <w14:textFill>
            <w14:solidFill>
              <w14:schemeClr w14:val="tx1"/>
            </w14:solidFill>
          </w14:textFill>
        </w:rPr>
        <w:t>建筑设计阶段</w:t>
      </w:r>
      <w:r>
        <w:rPr>
          <w:rFonts w:hint="eastAsia" w:ascii="黑体" w:hAnsi="黑体" w:eastAsia="黑体"/>
          <w:bCs/>
          <w:color w:val="000000" w:themeColor="text1"/>
          <w:sz w:val="36"/>
          <w:szCs w:val="36"/>
          <w:lang w:val="en-US" w:eastAsia="zh-CN"/>
          <w14:textFill>
            <w14:solidFill>
              <w14:schemeClr w14:val="tx1"/>
            </w14:solidFill>
          </w14:textFill>
        </w:rPr>
        <w:t>预评价</w:t>
      </w:r>
      <w:r>
        <w:rPr>
          <w:rFonts w:hint="eastAsia" w:ascii="黑体" w:hAnsi="黑体" w:eastAsia="黑体"/>
          <w:bCs/>
          <w:color w:val="000000" w:themeColor="text1"/>
          <w:sz w:val="36"/>
          <w:szCs w:val="36"/>
          <w14:textFill>
            <w14:solidFill>
              <w14:schemeClr w14:val="tx1"/>
            </w14:solidFill>
          </w14:textFill>
        </w:rPr>
        <w:t>专家论证意见</w:t>
      </w:r>
    </w:p>
    <w:p>
      <w:pPr>
        <w:snapToGrid w:val="0"/>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2</w:t>
      </w:r>
      <w:r>
        <w:rPr>
          <w:rFonts w:ascii="仿宋_GB2312" w:hAnsi="宋体"/>
          <w:bCs/>
          <w:color w:val="000000" w:themeColor="text1"/>
          <w:sz w:val="28"/>
          <w:szCs w:val="28"/>
          <w14:textFill>
            <w14:solidFill>
              <w14:schemeClr w14:val="tx1"/>
            </w14:solidFill>
          </w14:textFill>
        </w:rPr>
        <w:t>02</w:t>
      </w:r>
      <w:r>
        <w:rPr>
          <w:rFonts w:hint="eastAsia" w:ascii="仿宋_GB2312" w:hAnsi="宋体"/>
          <w:bCs/>
          <w:color w:val="000000" w:themeColor="text1"/>
          <w:sz w:val="28"/>
          <w:szCs w:val="28"/>
          <w:lang w:val="en-US" w:eastAsia="zh-CN"/>
          <w14:textFill>
            <w14:solidFill>
              <w14:schemeClr w14:val="tx1"/>
            </w14:solidFill>
          </w14:textFill>
        </w:rPr>
        <w:t>1</w:t>
      </w:r>
      <w:r>
        <w:rPr>
          <w:rFonts w:hint="eastAsia" w:ascii="仿宋_GB2312" w:hAnsi="宋体"/>
          <w:bCs/>
          <w:color w:val="000000" w:themeColor="text1"/>
          <w:sz w:val="28"/>
          <w:szCs w:val="28"/>
          <w14:textFill>
            <w14:solidFill>
              <w14:schemeClr w14:val="tx1"/>
            </w14:solidFill>
          </w14:textFill>
        </w:rPr>
        <w:t>年</w:t>
      </w:r>
      <w:r>
        <w:rPr>
          <w:rFonts w:hint="eastAsia" w:ascii="仿宋_GB2312" w:hAnsi="宋体"/>
          <w:bCs/>
          <w:color w:val="000000" w:themeColor="text1"/>
          <w:sz w:val="28"/>
          <w:szCs w:val="28"/>
          <w:lang w:val="en-US" w:eastAsia="zh-CN"/>
          <w14:textFill>
            <w14:solidFill>
              <w14:schemeClr w14:val="tx1"/>
            </w14:solidFill>
          </w14:textFill>
        </w:rPr>
        <w:t>07</w:t>
      </w:r>
      <w:r>
        <w:rPr>
          <w:rFonts w:hint="eastAsia" w:ascii="仿宋_GB2312" w:hAnsi="宋体"/>
          <w:bCs/>
          <w:color w:val="000000" w:themeColor="text1"/>
          <w:sz w:val="28"/>
          <w:szCs w:val="28"/>
          <w14:textFill>
            <w14:solidFill>
              <w14:schemeClr w14:val="tx1"/>
            </w14:solidFill>
          </w14:textFill>
        </w:rPr>
        <w:t>月</w:t>
      </w:r>
      <w:r>
        <w:rPr>
          <w:rFonts w:hint="eastAsia" w:ascii="仿宋_GB2312" w:hAnsi="宋体"/>
          <w:bCs/>
          <w:color w:val="000000" w:themeColor="text1"/>
          <w:sz w:val="28"/>
          <w:szCs w:val="28"/>
          <w:lang w:val="en-US" w:eastAsia="zh-CN"/>
          <w14:textFill>
            <w14:solidFill>
              <w14:schemeClr w14:val="tx1"/>
            </w14:solidFill>
          </w14:textFill>
        </w:rPr>
        <w:t>15</w:t>
      </w:r>
      <w:r>
        <w:rPr>
          <w:rFonts w:hint="eastAsia" w:ascii="仿宋_GB2312" w:hAnsi="宋体"/>
          <w:bCs/>
          <w:color w:val="000000" w:themeColor="text1"/>
          <w:sz w:val="28"/>
          <w:szCs w:val="28"/>
          <w14:textFill>
            <w14:solidFill>
              <w14:schemeClr w14:val="tx1"/>
            </w14:solidFill>
          </w14:textFill>
        </w:rPr>
        <w:t>日，福州兆裕房地产开发有限公司在福州市组织召开“</w:t>
      </w:r>
      <w:r>
        <w:rPr>
          <w:rFonts w:hint="eastAsia" w:ascii="仿宋_GB2312" w:hAnsi="宋体"/>
          <w:bCs/>
          <w:color w:val="000000" w:themeColor="text1"/>
          <w:sz w:val="28"/>
          <w:szCs w:val="28"/>
          <w:lang w:eastAsia="zh-CN"/>
          <w14:textFill>
            <w14:solidFill>
              <w14:schemeClr w14:val="tx1"/>
            </w14:solidFill>
          </w14:textFill>
        </w:rPr>
        <w:t>璟云公馆</w:t>
      </w:r>
      <w:r>
        <w:rPr>
          <w:rFonts w:hint="eastAsia" w:ascii="仿宋_GB2312" w:hAnsi="宋体"/>
          <w:bCs/>
          <w:color w:val="000000" w:themeColor="text1"/>
          <w:sz w:val="28"/>
          <w:szCs w:val="28"/>
          <w14:textFill>
            <w14:solidFill>
              <w14:schemeClr w14:val="tx1"/>
            </w14:solidFill>
          </w14:textFill>
        </w:rPr>
        <w:t>”项目1#、2#、3#、5#、5-1#、17#楼</w:t>
      </w:r>
      <w:r>
        <w:rPr>
          <w:rFonts w:hint="eastAsia" w:ascii="仿宋_GB2312" w:hAnsi="宋体"/>
          <w:bCs/>
          <w:color w:val="000000" w:themeColor="text1"/>
          <w:sz w:val="28"/>
          <w:szCs w:val="28"/>
          <w:lang w:val="en-US" w:eastAsia="zh-CN"/>
          <w14:textFill>
            <w14:solidFill>
              <w14:schemeClr w14:val="tx1"/>
            </w14:solidFill>
          </w14:textFill>
        </w:rPr>
        <w:t>装配式</w:t>
      </w:r>
      <w:r>
        <w:rPr>
          <w:rFonts w:hint="eastAsia" w:ascii="仿宋_GB2312" w:hAnsi="宋体"/>
          <w:bCs/>
          <w:color w:val="000000" w:themeColor="text1"/>
          <w:sz w:val="28"/>
          <w:szCs w:val="28"/>
          <w14:textFill>
            <w14:solidFill>
              <w14:schemeClr w14:val="tx1"/>
            </w14:solidFill>
          </w14:textFill>
        </w:rPr>
        <w:t>建筑设计阶段</w:t>
      </w:r>
      <w:r>
        <w:rPr>
          <w:rFonts w:hint="eastAsia" w:ascii="仿宋_GB2312" w:hAnsi="宋体"/>
          <w:bCs/>
          <w:color w:val="000000" w:themeColor="text1"/>
          <w:sz w:val="28"/>
          <w:szCs w:val="28"/>
          <w:lang w:val="en-US" w:eastAsia="zh-CN"/>
          <w14:textFill>
            <w14:solidFill>
              <w14:schemeClr w14:val="tx1"/>
            </w14:solidFill>
          </w14:textFill>
        </w:rPr>
        <w:t>预评价</w:t>
      </w:r>
      <w:r>
        <w:rPr>
          <w:rFonts w:hint="eastAsia" w:ascii="仿宋_GB2312" w:hAnsi="宋体"/>
          <w:bCs/>
          <w:color w:val="000000" w:themeColor="text1"/>
          <w:sz w:val="28"/>
          <w:szCs w:val="28"/>
          <w14:textFill>
            <w14:solidFill>
              <w14:schemeClr w14:val="tx1"/>
            </w14:solidFill>
          </w14:textFill>
        </w:rPr>
        <w:t>专家论证会，会议由福州兆裕房地产开发有限公司主持，设计单位、施工图审查单位、评审专家参加了会议。</w:t>
      </w:r>
    </w:p>
    <w:p>
      <w:pPr>
        <w:snapToGrid w:val="0"/>
        <w:spacing w:line="490" w:lineRule="exact"/>
        <w:ind w:firstLine="560" w:firstLineChars="200"/>
        <w:rPr>
          <w:rFonts w:ascii="仿宋_GB2312"/>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工程基本简况如下：</w:t>
      </w:r>
      <w:r>
        <w:rPr>
          <w:rFonts w:hint="eastAsia" w:ascii="仿宋_GB2312" w:hAnsi="宋体"/>
          <w:bCs/>
          <w:color w:val="000000" w:themeColor="text1"/>
          <w:sz w:val="28"/>
          <w:szCs w:val="28"/>
          <w:lang w:val="en-US" w:eastAsia="zh-CN"/>
          <w14:textFill>
            <w14:solidFill>
              <w14:schemeClr w14:val="tx1"/>
            </w14:solidFill>
          </w14:textFill>
        </w:rPr>
        <w:t>该</w:t>
      </w:r>
      <w:r>
        <w:rPr>
          <w:rFonts w:hint="eastAsia" w:ascii="仿宋_GB2312" w:hAnsi="宋体"/>
          <w:bCs/>
          <w:color w:val="000000" w:themeColor="text1"/>
          <w:sz w:val="28"/>
          <w:szCs w:val="28"/>
          <w14:textFill>
            <w14:solidFill>
              <w14:schemeClr w14:val="tx1"/>
            </w14:solidFill>
          </w14:textFill>
        </w:rPr>
        <w:t>项目位于福州市</w:t>
      </w:r>
      <w:r>
        <w:rPr>
          <w:rFonts w:hint="eastAsia" w:asciiTheme="minorHAnsi" w:hAnsiTheme="minorHAnsi"/>
          <w:bCs/>
          <w:color w:val="000000" w:themeColor="text1"/>
          <w:sz w:val="28"/>
          <w:szCs w:val="28"/>
          <w:lang w:eastAsia="zh-CN"/>
          <w14:textFill>
            <w14:solidFill>
              <w14:schemeClr w14:val="tx1"/>
            </w14:solidFill>
          </w14:textFill>
        </w:rPr>
        <w:t>晋安</w:t>
      </w:r>
      <w:r>
        <w:rPr>
          <w:rFonts w:hint="eastAsia" w:ascii="仿宋_GB2312" w:hAnsi="宋体"/>
          <w:bCs/>
          <w:color w:val="000000" w:themeColor="text1"/>
          <w:sz w:val="28"/>
          <w:szCs w:val="28"/>
          <w14:textFill>
            <w14:solidFill>
              <w14:schemeClr w14:val="tx1"/>
            </w14:solidFill>
          </w14:textFill>
        </w:rPr>
        <w:t>区。拟建1</w:t>
      </w:r>
      <w:r>
        <w:rPr>
          <w:rFonts w:hint="eastAsia" w:ascii="仿宋_GB2312" w:hAnsi="宋体"/>
          <w:bCs/>
          <w:color w:val="000000" w:themeColor="text1"/>
          <w:sz w:val="28"/>
          <w:szCs w:val="28"/>
          <w:lang w:val="en-US" w:eastAsia="zh-CN"/>
          <w14:textFill>
            <w14:solidFill>
              <w14:schemeClr w14:val="tx1"/>
            </w14:solidFill>
          </w14:textFill>
        </w:rPr>
        <w:t>5</w:t>
      </w:r>
      <w:r>
        <w:rPr>
          <w:rFonts w:hint="eastAsia" w:ascii="仿宋_GB2312" w:hAnsi="宋体"/>
          <w:bCs/>
          <w:color w:val="000000" w:themeColor="text1"/>
          <w:sz w:val="28"/>
          <w:szCs w:val="28"/>
          <w14:textFill>
            <w14:solidFill>
              <w14:schemeClr w14:val="tx1"/>
            </w14:solidFill>
          </w14:textFill>
        </w:rPr>
        <w:t>栋高层住宅、</w:t>
      </w:r>
      <w:r>
        <w:rPr>
          <w:rFonts w:hint="eastAsia" w:ascii="仿宋_GB2312" w:hAnsi="宋体"/>
          <w:bCs/>
          <w:color w:val="000000" w:themeColor="text1"/>
          <w:sz w:val="28"/>
          <w:szCs w:val="28"/>
          <w:lang w:val="en-US" w:eastAsia="zh-CN"/>
          <w14:textFill>
            <w14:solidFill>
              <w14:schemeClr w14:val="tx1"/>
            </w14:solidFill>
          </w14:textFill>
        </w:rPr>
        <w:t>4</w:t>
      </w:r>
      <w:r>
        <w:rPr>
          <w:rFonts w:hint="eastAsia" w:ascii="仿宋_GB2312" w:hAnsi="宋体"/>
          <w:bCs/>
          <w:color w:val="000000" w:themeColor="text1"/>
          <w:sz w:val="28"/>
          <w:szCs w:val="28"/>
          <w14:textFill>
            <w14:solidFill>
              <w14:schemeClr w14:val="tx1"/>
            </w14:solidFill>
          </w14:textFill>
        </w:rPr>
        <w:t>栋</w:t>
      </w:r>
      <w:r>
        <w:rPr>
          <w:rFonts w:hint="eastAsia" w:ascii="仿宋_GB2312" w:hAnsi="宋体"/>
          <w:bCs/>
          <w:color w:val="000000" w:themeColor="text1"/>
          <w:sz w:val="28"/>
          <w:szCs w:val="28"/>
          <w:lang w:val="en-US" w:eastAsia="zh-CN"/>
          <w14:textFill>
            <w14:solidFill>
              <w14:schemeClr w14:val="tx1"/>
            </w14:solidFill>
          </w14:textFill>
        </w:rPr>
        <w:t>多</w:t>
      </w:r>
      <w:r>
        <w:rPr>
          <w:rFonts w:hint="eastAsia" w:ascii="仿宋_GB2312" w:hAnsi="宋体"/>
          <w:bCs/>
          <w:color w:val="000000" w:themeColor="text1"/>
          <w:sz w:val="28"/>
          <w:szCs w:val="28"/>
          <w14:textFill>
            <w14:solidFill>
              <w14:schemeClr w14:val="tx1"/>
            </w14:solidFill>
          </w14:textFill>
        </w:rPr>
        <w:t>层公建和地下室，总建筑面积为140452.16平方米，计入容积率的建筑面积为104624.47平方米。其中1#、2#、3#、5#、5-1#、17#楼采用预制装配式混凝土结构，装配式楼栋的计容建筑面积为52537.21</w:t>
      </w:r>
      <w:r>
        <w:rPr>
          <w:rFonts w:ascii="仿宋_GB2312" w:hAnsi="宋体"/>
          <w:bCs/>
          <w:color w:val="000000" w:themeColor="text1"/>
          <w:sz w:val="28"/>
          <w:szCs w:val="28"/>
          <w14:textFill>
            <w14:solidFill>
              <w14:schemeClr w14:val="tx1"/>
            </w14:solidFill>
          </w14:textFill>
        </w:rPr>
        <w:t>/</w:t>
      </w:r>
      <w:r>
        <w:rPr>
          <w:rFonts w:hint="eastAsia" w:ascii="仿宋_GB2312" w:hAnsi="宋体"/>
          <w:bCs/>
          <w:color w:val="000000" w:themeColor="text1"/>
          <w:sz w:val="28"/>
          <w:szCs w:val="28"/>
          <w14:textFill>
            <w14:solidFill>
              <w14:schemeClr w14:val="tx1"/>
            </w14:solidFill>
          </w14:textFill>
        </w:rPr>
        <w:t>104624.47</w:t>
      </w:r>
      <w:r>
        <w:rPr>
          <w:rFonts w:ascii="仿宋_GB2312" w:hAnsi="宋体"/>
          <w:bCs/>
          <w:color w:val="000000" w:themeColor="text1"/>
          <w:sz w:val="28"/>
          <w:szCs w:val="28"/>
          <w14:textFill>
            <w14:solidFill>
              <w14:schemeClr w14:val="tx1"/>
            </w14:solidFill>
          </w14:textFill>
        </w:rPr>
        <w:t>=5</w:t>
      </w:r>
      <w:r>
        <w:rPr>
          <w:rFonts w:hint="eastAsia" w:ascii="仿宋_GB2312" w:hAnsi="宋体"/>
          <w:bCs/>
          <w:color w:val="000000" w:themeColor="text1"/>
          <w:sz w:val="28"/>
          <w:szCs w:val="28"/>
          <w:lang w:val="en-US" w:eastAsia="zh-CN"/>
          <w14:textFill>
            <w14:solidFill>
              <w14:schemeClr w14:val="tx1"/>
            </w14:solidFill>
          </w14:textFill>
        </w:rPr>
        <w:t>0.22</w:t>
      </w:r>
      <w:r>
        <w:rPr>
          <w:rFonts w:ascii="仿宋_GB2312" w:hAnsi="宋体"/>
          <w:bCs/>
          <w:color w:val="000000" w:themeColor="text1"/>
          <w:sz w:val="28"/>
          <w:szCs w:val="28"/>
          <w14:textFill>
            <w14:solidFill>
              <w14:schemeClr w14:val="tx1"/>
            </w14:solidFill>
          </w14:textFill>
        </w:rPr>
        <w:t>%&gt;50%</w:t>
      </w:r>
      <w:r>
        <w:rPr>
          <w:rFonts w:hint="eastAsia" w:ascii="仿宋_GB2312" w:hAnsi="宋体"/>
          <w:bCs/>
          <w:color w:val="000000" w:themeColor="text1"/>
          <w:sz w:val="28"/>
          <w:szCs w:val="28"/>
          <w14:textFill>
            <w14:solidFill>
              <w14:schemeClr w14:val="tx1"/>
            </w14:solidFill>
          </w14:textFill>
        </w:rPr>
        <w:t>，满足福州市人民政府文件榕政综〔2017〕1164号的相关规定要求。</w:t>
      </w:r>
    </w:p>
    <w:p>
      <w:pPr>
        <w:spacing w:line="490" w:lineRule="exact"/>
        <w:ind w:firstLine="560" w:firstLineChars="200"/>
        <w:jc w:val="left"/>
        <w:rPr>
          <w:rFonts w:ascii="仿宋_GB2312" w:hAnsi="宋体"/>
          <w:bCs/>
          <w:color w:val="000000" w:themeColor="text1"/>
          <w:sz w:val="28"/>
          <w:szCs w:val="28"/>
          <w14:textFill>
            <w14:solidFill>
              <w14:schemeClr w14:val="tx1"/>
            </w14:solidFill>
          </w14:textFill>
        </w:rPr>
      </w:pPr>
      <w:bookmarkStart w:id="0" w:name="_GoBack"/>
      <w:bookmarkEnd w:id="0"/>
      <w:r>
        <w:rPr>
          <w:rFonts w:hint="eastAsia" w:ascii="仿宋_GB2312" w:hAnsi="宋体"/>
          <w:bCs/>
          <w:color w:val="000000" w:themeColor="text1"/>
          <w:sz w:val="28"/>
          <w:szCs w:val="28"/>
          <w14:textFill>
            <w14:solidFill>
              <w14:schemeClr w14:val="tx1"/>
            </w14:solidFill>
          </w14:textFill>
        </w:rPr>
        <w:t>各单体预制装配内容及装配率详下表：</w:t>
      </w:r>
    </w:p>
    <w:tbl>
      <w:tblPr>
        <w:tblStyle w:val="5"/>
        <w:tblW w:w="4894" w:type="pct"/>
        <w:jc w:val="center"/>
        <w:tblLayout w:type="fixed"/>
        <w:tblCellMar>
          <w:top w:w="0" w:type="dxa"/>
          <w:left w:w="0" w:type="dxa"/>
          <w:bottom w:w="0" w:type="dxa"/>
          <w:right w:w="0" w:type="dxa"/>
        </w:tblCellMar>
      </w:tblPr>
      <w:tblGrid>
        <w:gridCol w:w="1760"/>
        <w:gridCol w:w="2204"/>
        <w:gridCol w:w="968"/>
        <w:gridCol w:w="827"/>
        <w:gridCol w:w="779"/>
        <w:gridCol w:w="788"/>
        <w:gridCol w:w="823"/>
      </w:tblGrid>
      <w:tr>
        <w:tblPrEx>
          <w:tblCellMar>
            <w:top w:w="0" w:type="dxa"/>
            <w:left w:w="0" w:type="dxa"/>
            <w:bottom w:w="0" w:type="dxa"/>
            <w:right w:w="0" w:type="dxa"/>
          </w:tblCellMar>
        </w:tblPrEx>
        <w:trPr>
          <w:trHeight w:val="340" w:hRule="atLeast"/>
          <w:jc w:val="center"/>
        </w:trPr>
        <w:tc>
          <w:tcPr>
            <w:tcW w:w="1079" w:type="pct"/>
            <w:tcBorders>
              <w:top w:val="single" w:color="000000" w:sz="8" w:space="0"/>
              <w:left w:val="single" w:color="000000" w:sz="8" w:space="0"/>
              <w:bottom w:val="single" w:color="000000" w:sz="8" w:space="0"/>
              <w:right w:val="single" w:color="000000" w:sz="8" w:space="0"/>
            </w:tcBorders>
            <w:vAlign w:val="center"/>
          </w:tcPr>
          <w:p>
            <w:pPr>
              <w:spacing w:line="490" w:lineRule="exact"/>
              <w:rPr>
                <w:rFonts w:ascii="仿宋" w:hAnsi="仿宋" w:eastAsia="仿宋" w:cs="仿宋"/>
                <w:bCs/>
                <w:color w:val="000000" w:themeColor="text1"/>
                <w:sz w:val="24"/>
                <w14:textFill>
                  <w14:solidFill>
                    <w14:schemeClr w14:val="tx1"/>
                  </w14:solidFill>
                </w14:textFill>
              </w:rPr>
            </w:pPr>
          </w:p>
        </w:tc>
        <w:tc>
          <w:tcPr>
            <w:tcW w:w="135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评价项</w:t>
            </w:r>
          </w:p>
        </w:tc>
        <w:tc>
          <w:tcPr>
            <w:tcW w:w="59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szCs w:val="24"/>
                <w:lang w:val="en-US" w:eastAsia="zh-CN"/>
                <w14:textFill>
                  <w14:solidFill>
                    <w14:schemeClr w14:val="tx1"/>
                  </w14:solidFill>
                </w14:textFill>
              </w:rPr>
              <w:t>1#楼</w:t>
            </w:r>
          </w:p>
        </w:tc>
        <w:tc>
          <w:tcPr>
            <w:tcW w:w="50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2#楼</w:t>
            </w:r>
          </w:p>
        </w:tc>
        <w:tc>
          <w:tcPr>
            <w:tcW w:w="47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3#楼</w:t>
            </w:r>
          </w:p>
        </w:tc>
        <w:tc>
          <w:tcPr>
            <w:tcW w:w="48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5#、5-1#楼</w:t>
            </w:r>
          </w:p>
        </w:tc>
        <w:tc>
          <w:tcPr>
            <w:tcW w:w="50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17#楼</w:t>
            </w:r>
          </w:p>
        </w:tc>
      </w:tr>
      <w:tr>
        <w:tblPrEx>
          <w:tblCellMar>
            <w:top w:w="0" w:type="dxa"/>
            <w:left w:w="0" w:type="dxa"/>
            <w:bottom w:w="0" w:type="dxa"/>
            <w:right w:w="0" w:type="dxa"/>
          </w:tblCellMar>
        </w:tblPrEx>
        <w:trPr>
          <w:cantSplit/>
          <w:trHeight w:val="340" w:hRule="atLeast"/>
          <w:jc w:val="center"/>
        </w:trPr>
        <w:tc>
          <w:tcPr>
            <w:tcW w:w="1079" w:type="pct"/>
            <w:vMerge w:val="restart"/>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35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预制叠合板、预制楼梯、预制</w:t>
            </w:r>
            <w:r>
              <w:rPr>
                <w:rFonts w:hint="eastAsia" w:ascii="仿宋" w:hAnsi="仿宋" w:eastAsia="仿宋" w:cs="仿宋"/>
                <w:bCs/>
                <w:color w:val="000000" w:themeColor="text1"/>
                <w:sz w:val="24"/>
                <w:lang w:val="en-US" w:eastAsia="zh-CN"/>
                <w14:textFill>
                  <w14:solidFill>
                    <w14:schemeClr w14:val="tx1"/>
                  </w14:solidFill>
                </w14:textFill>
              </w:rPr>
              <w:t>盖板</w:t>
            </w:r>
          </w:p>
        </w:tc>
        <w:tc>
          <w:tcPr>
            <w:tcW w:w="59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28.2</w:t>
            </w:r>
          </w:p>
        </w:tc>
        <w:tc>
          <w:tcPr>
            <w:tcW w:w="50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28.2</w:t>
            </w:r>
          </w:p>
        </w:tc>
        <w:tc>
          <w:tcPr>
            <w:tcW w:w="47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28.2</w:t>
            </w:r>
          </w:p>
        </w:tc>
        <w:tc>
          <w:tcPr>
            <w:tcW w:w="48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26.4</w:t>
            </w:r>
          </w:p>
        </w:tc>
        <w:tc>
          <w:tcPr>
            <w:tcW w:w="50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26.2</w:t>
            </w:r>
          </w:p>
        </w:tc>
      </w:tr>
      <w:tr>
        <w:tblPrEx>
          <w:tblCellMar>
            <w:top w:w="0" w:type="dxa"/>
            <w:left w:w="0" w:type="dxa"/>
            <w:bottom w:w="0" w:type="dxa"/>
            <w:right w:w="0" w:type="dxa"/>
          </w:tblCellMar>
        </w:tblPrEx>
        <w:trPr>
          <w:trHeight w:val="340" w:hRule="atLeast"/>
          <w:jc w:val="center"/>
        </w:trPr>
        <w:tc>
          <w:tcPr>
            <w:tcW w:w="1079"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35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装配式建筑设计标准化、模数化</w:t>
            </w:r>
          </w:p>
        </w:tc>
        <w:tc>
          <w:tcPr>
            <w:tcW w:w="59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50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ascii="仿宋" w:hAnsi="仿宋" w:eastAsia="仿宋" w:cs="仿宋"/>
                <w:bCs/>
                <w:color w:val="000000" w:themeColor="text1"/>
                <w:sz w:val="24"/>
                <w14:textFill>
                  <w14:solidFill>
                    <w14:schemeClr w14:val="tx1"/>
                  </w14:solidFill>
                </w14:textFill>
              </w:rPr>
              <w:t>-2</w:t>
            </w:r>
          </w:p>
        </w:tc>
        <w:tc>
          <w:tcPr>
            <w:tcW w:w="47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-2</w:t>
            </w:r>
          </w:p>
        </w:tc>
        <w:tc>
          <w:tcPr>
            <w:tcW w:w="48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c>
          <w:tcPr>
            <w:tcW w:w="50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1079" w:type="pct"/>
            <w:vMerge w:val="continue"/>
            <w:tcBorders>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35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部品部件通用化</w:t>
            </w:r>
          </w:p>
        </w:tc>
        <w:tc>
          <w:tcPr>
            <w:tcW w:w="59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4</w:t>
            </w:r>
          </w:p>
        </w:tc>
        <w:tc>
          <w:tcPr>
            <w:tcW w:w="50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47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lang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4</w:t>
            </w:r>
          </w:p>
        </w:tc>
        <w:tc>
          <w:tcPr>
            <w:tcW w:w="48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default" w:ascii="仿宋" w:hAnsi="仿宋" w:eastAsia="仿宋" w:cs="仿宋"/>
                <w:bCs/>
                <w:color w:val="000000" w:themeColor="text1"/>
                <w:sz w:val="24"/>
                <w:lang w:val="en-US" w:eastAsia="zh-CN"/>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3.92</w:t>
            </w:r>
          </w:p>
        </w:tc>
        <w:tc>
          <w:tcPr>
            <w:tcW w:w="50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3.92</w:t>
            </w:r>
          </w:p>
        </w:tc>
      </w:tr>
      <w:tr>
        <w:tblPrEx>
          <w:tblCellMar>
            <w:top w:w="0" w:type="dxa"/>
            <w:left w:w="0" w:type="dxa"/>
            <w:bottom w:w="0" w:type="dxa"/>
            <w:right w:w="0" w:type="dxa"/>
          </w:tblCellMar>
        </w:tblPrEx>
        <w:trPr>
          <w:trHeight w:val="340" w:hRule="atLeast"/>
          <w:jc w:val="center"/>
        </w:trPr>
        <w:tc>
          <w:tcPr>
            <w:tcW w:w="1079"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围护墙和内隔墙</w:t>
            </w:r>
          </w:p>
        </w:tc>
        <w:tc>
          <w:tcPr>
            <w:tcW w:w="135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内隔墙非砌筑</w:t>
            </w:r>
          </w:p>
        </w:tc>
        <w:tc>
          <w:tcPr>
            <w:tcW w:w="59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50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7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48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c>
          <w:tcPr>
            <w:tcW w:w="50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10</w:t>
            </w:r>
          </w:p>
        </w:tc>
      </w:tr>
      <w:tr>
        <w:tblPrEx>
          <w:tblCellMar>
            <w:top w:w="0" w:type="dxa"/>
            <w:left w:w="0" w:type="dxa"/>
            <w:bottom w:w="0" w:type="dxa"/>
            <w:right w:w="0" w:type="dxa"/>
          </w:tblCellMar>
        </w:tblPrEx>
        <w:trPr>
          <w:trHeight w:val="340" w:hRule="atLeast"/>
          <w:jc w:val="center"/>
        </w:trPr>
        <w:tc>
          <w:tcPr>
            <w:tcW w:w="2432" w:type="pct"/>
            <w:gridSpan w:val="2"/>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装修和设备管线</w:t>
            </w:r>
          </w:p>
        </w:tc>
        <w:tc>
          <w:tcPr>
            <w:tcW w:w="594" w:type="pct"/>
            <w:tcBorders>
              <w:top w:val="single" w:color="auto" w:sz="4" w:space="0"/>
              <w:left w:val="single" w:color="auto" w:sz="4" w:space="0"/>
              <w:bottom w:val="single" w:color="auto" w:sz="4" w:space="0"/>
              <w:right w:val="single" w:color="auto" w:sz="4"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507"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77"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483" w:type="pct"/>
            <w:tcBorders>
              <w:top w:val="single" w:color="auto" w:sz="4" w:space="0"/>
              <w:left w:val="single" w:color="auto" w:sz="4" w:space="0"/>
              <w:bottom w:val="single" w:color="auto" w:sz="4" w:space="0"/>
              <w:right w:val="single" w:color="auto" w:sz="4"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c>
          <w:tcPr>
            <w:tcW w:w="504" w:type="pct"/>
            <w:tcBorders>
              <w:top w:val="single" w:color="auto" w:sz="4" w:space="0"/>
              <w:left w:val="single" w:color="auto" w:sz="4" w:space="0"/>
              <w:bottom w:val="single" w:color="auto" w:sz="4" w:space="0"/>
              <w:right w:val="single" w:color="auto" w:sz="4" w:space="0"/>
            </w:tcBorders>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0</w:t>
            </w:r>
          </w:p>
        </w:tc>
      </w:tr>
      <w:tr>
        <w:tblPrEx>
          <w:tblCellMar>
            <w:top w:w="0" w:type="dxa"/>
            <w:left w:w="0" w:type="dxa"/>
            <w:bottom w:w="0" w:type="dxa"/>
            <w:right w:w="0" w:type="dxa"/>
          </w:tblCellMar>
        </w:tblPrEx>
        <w:trPr>
          <w:trHeight w:val="340" w:hRule="atLeast"/>
          <w:jc w:val="center"/>
        </w:trPr>
        <w:tc>
          <w:tcPr>
            <w:tcW w:w="1079" w:type="pct"/>
            <w:vMerge w:val="restart"/>
            <w:tcBorders>
              <w:top w:val="single" w:color="000000" w:sz="8" w:space="0"/>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技术创新</w:t>
            </w:r>
          </w:p>
        </w:tc>
        <w:tc>
          <w:tcPr>
            <w:tcW w:w="135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设计阶段BIM</w:t>
            </w:r>
          </w:p>
        </w:tc>
        <w:tc>
          <w:tcPr>
            <w:tcW w:w="59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50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8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50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1079"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35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施工阶段BIM</w:t>
            </w:r>
          </w:p>
        </w:tc>
        <w:tc>
          <w:tcPr>
            <w:tcW w:w="59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50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7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48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c>
          <w:tcPr>
            <w:tcW w:w="50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3</w:t>
            </w:r>
          </w:p>
        </w:tc>
      </w:tr>
      <w:tr>
        <w:tblPrEx>
          <w:tblCellMar>
            <w:top w:w="0" w:type="dxa"/>
            <w:left w:w="0" w:type="dxa"/>
            <w:bottom w:w="0" w:type="dxa"/>
            <w:right w:w="0" w:type="dxa"/>
          </w:tblCellMar>
        </w:tblPrEx>
        <w:trPr>
          <w:trHeight w:val="340" w:hRule="atLeast"/>
          <w:jc w:val="center"/>
        </w:trPr>
        <w:tc>
          <w:tcPr>
            <w:tcW w:w="1079" w:type="pct"/>
            <w:vMerge w:val="continue"/>
            <w:tcBorders>
              <w:left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p>
        </w:tc>
        <w:tc>
          <w:tcPr>
            <w:tcW w:w="1352"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可追溯系统</w:t>
            </w:r>
          </w:p>
        </w:tc>
        <w:tc>
          <w:tcPr>
            <w:tcW w:w="59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50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7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48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c>
          <w:tcPr>
            <w:tcW w:w="50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w:t>
            </w:r>
          </w:p>
        </w:tc>
      </w:tr>
      <w:tr>
        <w:tblPrEx>
          <w:tblCellMar>
            <w:top w:w="0" w:type="dxa"/>
            <w:left w:w="0" w:type="dxa"/>
            <w:bottom w:w="0" w:type="dxa"/>
            <w:right w:w="0" w:type="dxa"/>
          </w:tblCellMar>
        </w:tblPrEx>
        <w:trPr>
          <w:trHeight w:val="340" w:hRule="atLeast"/>
          <w:jc w:val="center"/>
        </w:trPr>
        <w:tc>
          <w:tcPr>
            <w:tcW w:w="2432"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总计</w:t>
            </w:r>
          </w:p>
        </w:tc>
        <w:tc>
          <w:tcPr>
            <w:tcW w:w="59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54.2</w:t>
            </w:r>
          </w:p>
        </w:tc>
        <w:tc>
          <w:tcPr>
            <w:tcW w:w="50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54.2</w:t>
            </w:r>
          </w:p>
        </w:tc>
        <w:tc>
          <w:tcPr>
            <w:tcW w:w="47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54.2</w:t>
            </w:r>
          </w:p>
        </w:tc>
        <w:tc>
          <w:tcPr>
            <w:tcW w:w="48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54.3</w:t>
            </w:r>
          </w:p>
        </w:tc>
        <w:tc>
          <w:tcPr>
            <w:tcW w:w="50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54.1</w:t>
            </w:r>
          </w:p>
        </w:tc>
      </w:tr>
      <w:tr>
        <w:tblPrEx>
          <w:tblCellMar>
            <w:top w:w="0" w:type="dxa"/>
            <w:left w:w="0" w:type="dxa"/>
            <w:bottom w:w="0" w:type="dxa"/>
            <w:right w:w="0" w:type="dxa"/>
          </w:tblCellMar>
        </w:tblPrEx>
        <w:trPr>
          <w:trHeight w:val="340" w:hRule="atLeast"/>
          <w:jc w:val="center"/>
        </w:trPr>
        <w:tc>
          <w:tcPr>
            <w:tcW w:w="2432" w:type="pct"/>
            <w:gridSpan w:val="2"/>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装配率（%）</w:t>
            </w:r>
          </w:p>
        </w:tc>
        <w:tc>
          <w:tcPr>
            <w:tcW w:w="594" w:type="pc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54%</w:t>
            </w:r>
          </w:p>
        </w:tc>
        <w:tc>
          <w:tcPr>
            <w:tcW w:w="50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54%</w:t>
            </w:r>
          </w:p>
        </w:tc>
        <w:tc>
          <w:tcPr>
            <w:tcW w:w="477"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54%</w:t>
            </w:r>
          </w:p>
        </w:tc>
        <w:tc>
          <w:tcPr>
            <w:tcW w:w="483"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54%</w:t>
            </w:r>
          </w:p>
        </w:tc>
        <w:tc>
          <w:tcPr>
            <w:tcW w:w="504" w:type="pct"/>
            <w:tcBorders>
              <w:top w:val="single" w:color="000000" w:sz="8" w:space="0"/>
              <w:left w:val="single" w:color="000000" w:sz="8" w:space="0"/>
              <w:bottom w:val="single" w:color="000000" w:sz="8" w:space="0"/>
              <w:right w:val="single" w:color="000000" w:sz="8" w:space="0"/>
            </w:tcBorders>
            <w:vAlign w:val="center"/>
          </w:tcPr>
          <w:p>
            <w:pPr>
              <w:spacing w:line="490" w:lineRule="exact"/>
              <w:jc w:val="center"/>
              <w:rPr>
                <w:rFonts w:hint="eastAsia"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lang w:val="en-US" w:eastAsia="zh-CN"/>
                <w14:textFill>
                  <w14:solidFill>
                    <w14:schemeClr w14:val="tx1"/>
                  </w14:solidFill>
                </w14:textFill>
              </w:rPr>
              <w:t>54%</w:t>
            </w:r>
          </w:p>
        </w:tc>
      </w:tr>
    </w:tbl>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_GB2312"/>
          <w:color w:val="000000" w:themeColor="text1"/>
          <w:sz w:val="24"/>
          <w:szCs w:val="22"/>
          <w14:textFill>
            <w14:solidFill>
              <w14:schemeClr w14:val="tx1"/>
            </w14:solidFill>
          </w14:textFill>
        </w:rPr>
      </w:pP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施工图设计文件已通过审图机构审查。审查机构：福州建功施工图审查有限公司，合格证编号: 3501112102260101-TX-003。</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与会专家及相关职能部门领导听取了福建博宇建筑设计有限公司及建设单位对</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的介绍，经会议研究讨论，形成以下意见：</w:t>
      </w:r>
    </w:p>
    <w:p>
      <w:pPr>
        <w:spacing w:line="490" w:lineRule="exact"/>
        <w:ind w:firstLine="560" w:firstLineChars="200"/>
        <w:rPr>
          <w:rFonts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(1) </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预制面积不小于总建筑面积计容部分的50%，满足福州市人民政府文件榕政综〔2017〕1164号</w:t>
      </w:r>
      <w:r>
        <w:rPr>
          <w:rFonts w:hint="eastAsia" w:ascii="仿宋_GB2312" w:hAnsi="宋体"/>
          <w:bCs/>
          <w:color w:val="000000" w:themeColor="text1"/>
          <w:sz w:val="28"/>
          <w:szCs w:val="28"/>
          <w:lang w:val="en-US" w:eastAsia="zh-CN"/>
          <w14:textFill>
            <w14:solidFill>
              <w14:schemeClr w14:val="tx1"/>
            </w14:solidFill>
          </w14:textFill>
        </w:rPr>
        <w:t>文件</w:t>
      </w:r>
      <w:r>
        <w:rPr>
          <w:rFonts w:hint="eastAsia" w:ascii="仿宋_GB2312" w:hAnsi="宋体"/>
          <w:bCs/>
          <w:color w:val="000000" w:themeColor="text1"/>
          <w:sz w:val="28"/>
          <w:szCs w:val="28"/>
          <w14:textFill>
            <w14:solidFill>
              <w14:schemeClr w14:val="tx1"/>
            </w14:solidFill>
          </w14:textFill>
        </w:rPr>
        <w:t>的相关规定，且满足</w:t>
      </w:r>
      <w:r>
        <w:rPr>
          <w:rFonts w:hint="eastAsia" w:ascii="仿宋_GB2312" w:hAnsi="宋体"/>
          <w:bCs/>
          <w:color w:val="000000" w:themeColor="text1"/>
          <w:sz w:val="28"/>
          <w:szCs w:val="28"/>
          <w:lang w:eastAsia="zh-CN"/>
          <w14:textFill>
            <w14:solidFill>
              <w14:schemeClr w14:val="tx1"/>
            </w14:solidFill>
          </w14:textFill>
        </w:rPr>
        <w:t>该</w:t>
      </w:r>
      <w:r>
        <w:rPr>
          <w:rFonts w:hint="eastAsia" w:ascii="仿宋_GB2312" w:hAnsi="宋体"/>
          <w:bCs/>
          <w:color w:val="000000" w:themeColor="text1"/>
          <w:sz w:val="28"/>
          <w:szCs w:val="28"/>
          <w14:textFill>
            <w14:solidFill>
              <w14:schemeClr w14:val="tx1"/>
            </w14:solidFill>
          </w14:textFill>
        </w:rPr>
        <w:t>项目</w:t>
      </w:r>
      <w:r>
        <w:rPr>
          <w:rFonts w:hint="eastAsia" w:ascii="仿宋_GB2312" w:hAnsi="宋体"/>
          <w:bCs/>
          <w:color w:val="000000" w:themeColor="text1"/>
          <w:sz w:val="28"/>
          <w:szCs w:val="28"/>
          <w:lang w:val="en-US" w:eastAsia="zh-CN"/>
          <w14:textFill>
            <w14:solidFill>
              <w14:schemeClr w14:val="tx1"/>
            </w14:solidFill>
          </w14:textFill>
        </w:rPr>
        <w:t>国有建设用地使用权出</w:t>
      </w:r>
      <w:r>
        <w:rPr>
          <w:rFonts w:hint="eastAsia" w:ascii="仿宋_GB2312" w:hAnsi="宋体"/>
          <w:bCs/>
          <w:color w:val="000000" w:themeColor="text1"/>
          <w:sz w:val="28"/>
          <w:szCs w:val="28"/>
          <w14:textFill>
            <w14:solidFill>
              <w14:schemeClr w14:val="tx1"/>
            </w14:solidFill>
          </w14:textFill>
        </w:rPr>
        <w:t>让合同</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lang w:val="en-US" w:eastAsia="zh-CN"/>
          <w14:textFill>
            <w14:solidFill>
              <w14:schemeClr w14:val="tx1"/>
            </w14:solidFill>
          </w14:textFill>
        </w:rPr>
        <w:t>合同编号：35010020210203P004</w:t>
      </w:r>
      <w:r>
        <w:rPr>
          <w:rFonts w:hint="eastAsia" w:ascii="仿宋_GB2312" w:hAnsi="宋体"/>
          <w:bCs/>
          <w:color w:val="000000" w:themeColor="text1"/>
          <w:sz w:val="28"/>
          <w:szCs w:val="28"/>
          <w:lang w:eastAsia="zh-CN"/>
          <w14:textFill>
            <w14:solidFill>
              <w14:schemeClr w14:val="tx1"/>
            </w14:solidFill>
          </w14:textFill>
        </w:rPr>
        <w:t>）</w:t>
      </w:r>
      <w:r>
        <w:rPr>
          <w:rFonts w:hint="eastAsia" w:ascii="仿宋_GB2312" w:hAnsi="宋体"/>
          <w:bCs/>
          <w:color w:val="000000" w:themeColor="text1"/>
          <w:sz w:val="28"/>
          <w:szCs w:val="28"/>
          <w14:textFill>
            <w14:solidFill>
              <w14:schemeClr w14:val="tx1"/>
            </w14:solidFill>
          </w14:textFill>
        </w:rPr>
        <w:t>相关要求。</w:t>
      </w:r>
    </w:p>
    <w:p>
      <w:pPr>
        <w:spacing w:line="490" w:lineRule="exact"/>
        <w:ind w:firstLine="560" w:firstLineChars="200"/>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 xml:space="preserve">(2) </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1#、2#、3#、5#、5-1#、17#楼装配式建筑设计相关资料完整，其主体结构、围护墙和内隔墙、技术创新部分的分值均不低于最低分值要求，各单体建筑装配率均不低于</w:t>
      </w:r>
      <w:r>
        <w:rPr>
          <w:rFonts w:ascii="仿宋_GB2312" w:hAnsi="宋体"/>
          <w:bCs/>
          <w:color w:val="000000" w:themeColor="text1"/>
          <w:sz w:val="28"/>
          <w:szCs w:val="28"/>
          <w14:textFill>
            <w14:solidFill>
              <w14:schemeClr w14:val="tx1"/>
            </w14:solidFill>
          </w14:textFill>
        </w:rPr>
        <w:t>50</w:t>
      </w:r>
      <w:r>
        <w:rPr>
          <w:rFonts w:hint="eastAsia" w:ascii="仿宋_GB2312" w:hAnsi="宋体"/>
          <w:bCs/>
          <w:color w:val="000000" w:themeColor="text1"/>
          <w:sz w:val="28"/>
          <w:szCs w:val="28"/>
          <w14:textFill>
            <w14:solidFill>
              <w14:schemeClr w14:val="tx1"/>
            </w14:solidFill>
          </w14:textFill>
        </w:rPr>
        <w:t>%，符合《福建省装配式建筑评价管理办法（试行）》（闽建[2</w:t>
      </w:r>
      <w:r>
        <w:rPr>
          <w:rFonts w:ascii="仿宋_GB2312" w:hAnsi="宋体"/>
          <w:bCs/>
          <w:color w:val="000000" w:themeColor="text1"/>
          <w:sz w:val="28"/>
          <w:szCs w:val="28"/>
          <w14:textFill>
            <w14:solidFill>
              <w14:schemeClr w14:val="tx1"/>
            </w14:solidFill>
          </w14:textFill>
        </w:rPr>
        <w:t>020]4</w:t>
      </w:r>
      <w:r>
        <w:rPr>
          <w:rFonts w:hint="eastAsia" w:ascii="仿宋_GB2312" w:hAnsi="宋体"/>
          <w:bCs/>
          <w:color w:val="000000" w:themeColor="text1"/>
          <w:sz w:val="28"/>
          <w:szCs w:val="28"/>
          <w14:textFill>
            <w14:solidFill>
              <w14:schemeClr w14:val="tx1"/>
            </w14:solidFill>
          </w14:textFill>
        </w:rPr>
        <w:t>号）的相关规定，同意</w:t>
      </w:r>
      <w:r>
        <w:rPr>
          <w:rFonts w:hint="eastAsia" w:ascii="仿宋_GB2312" w:hAnsi="宋体"/>
          <w:bCs/>
          <w:color w:val="000000" w:themeColor="text1"/>
          <w:sz w:val="28"/>
          <w:szCs w:val="28"/>
          <w:lang w:eastAsia="zh-CN"/>
          <w14:textFill>
            <w14:solidFill>
              <w14:schemeClr w14:val="tx1"/>
            </w14:solidFill>
          </w14:textFill>
        </w:rPr>
        <w:t>该工程</w:t>
      </w:r>
      <w:r>
        <w:rPr>
          <w:rFonts w:hint="eastAsia" w:ascii="仿宋_GB2312" w:hAnsi="宋体"/>
          <w:bCs/>
          <w:color w:val="000000" w:themeColor="text1"/>
          <w:sz w:val="28"/>
          <w:szCs w:val="28"/>
          <w14:textFill>
            <w14:solidFill>
              <w14:schemeClr w14:val="tx1"/>
            </w14:solidFill>
          </w14:textFill>
        </w:rPr>
        <w:t>1#、2#、3#、5#、5-1#、17#楼设计阶段评价为装配式建筑。</w:t>
      </w:r>
    </w:p>
    <w:p>
      <w:pPr>
        <w:spacing w:line="500" w:lineRule="exact"/>
        <w:rPr>
          <w:rFonts w:hint="eastAsia" w:ascii="仿宋_GB2312" w:hAnsi="宋体"/>
          <w:bCs/>
          <w:color w:val="000000" w:themeColor="text1"/>
          <w:sz w:val="32"/>
          <w:szCs w:val="32"/>
          <w14:textFill>
            <w14:solidFill>
              <w14:schemeClr w14:val="tx1"/>
            </w14:solidFill>
          </w14:textFill>
        </w:rPr>
      </w:pPr>
      <w:r>
        <w:rPr>
          <w:rFonts w:hint="eastAsia" w:ascii="仿宋_GB2312" w:hAnsi="宋体"/>
          <w:bCs/>
          <w:color w:val="000000" w:themeColor="text1"/>
          <w:sz w:val="28"/>
          <w:szCs w:val="28"/>
          <w14:textFill>
            <w14:solidFill>
              <w14:schemeClr w14:val="tx1"/>
            </w14:solidFill>
          </w14:textFill>
        </w:rPr>
        <w:t>专家名单：</w:t>
      </w:r>
      <w:r>
        <w:rPr>
          <w:rFonts w:hint="eastAsia" w:ascii="仿宋_GB2312" w:hAnsi="宋体"/>
          <w:bCs/>
          <w:color w:val="000000" w:themeColor="text1"/>
          <w:sz w:val="32"/>
          <w:szCs w:val="32"/>
          <w14:textFill>
            <w14:solidFill>
              <w14:schemeClr w14:val="tx1"/>
            </w14:solidFill>
          </w14:textFill>
        </w:rPr>
        <w:t xml:space="preserve">  </w:t>
      </w:r>
    </w:p>
    <w:p>
      <w:pPr>
        <w:spacing w:line="500" w:lineRule="exact"/>
        <w:rPr>
          <w:rFonts w:hint="eastAsia" w:ascii="仿宋_GB2312" w:hAnsi="宋体"/>
          <w:bCs/>
          <w:color w:val="000000" w:themeColor="text1"/>
          <w:sz w:val="32"/>
          <w:szCs w:val="32"/>
          <w14:textFill>
            <w14:solidFill>
              <w14:schemeClr w14:val="tx1"/>
            </w14:solidFill>
          </w14:textFill>
        </w:rPr>
      </w:pPr>
    </w:p>
    <w:p>
      <w:pPr>
        <w:widowControl/>
        <w:spacing w:line="500" w:lineRule="exact"/>
        <w:jc w:val="left"/>
        <w:rPr>
          <w:rFonts w:hint="eastAsia" w:ascii="仿宋_GB2312" w:hAnsi="宋体"/>
          <w:bCs/>
          <w:color w:val="000000" w:themeColor="text1"/>
          <w:sz w:val="28"/>
          <w:szCs w:val="28"/>
          <w14:textFill>
            <w14:solidFill>
              <w14:schemeClr w14:val="tx1"/>
            </w14:solidFill>
          </w14:textFill>
        </w:rPr>
      </w:pPr>
      <w:r>
        <w:rPr>
          <w:rFonts w:hint="eastAsia" w:ascii="仿宋_GB2312" w:hAnsi="宋体"/>
          <w:bCs/>
          <w:color w:val="000000" w:themeColor="text1"/>
          <w:sz w:val="28"/>
          <w:szCs w:val="28"/>
          <w:lang w:val="en-US" w:eastAsia="zh-CN"/>
          <w14:textFill>
            <w14:solidFill>
              <w14:schemeClr w14:val="tx1"/>
            </w14:solidFill>
          </w14:textFill>
        </w:rPr>
        <w:t xml:space="preserve">    </w:t>
      </w:r>
      <w:r>
        <w:rPr>
          <w:rFonts w:hint="eastAsia" w:ascii="仿宋_GB2312" w:hAnsi="宋体"/>
          <w:bCs/>
          <w:color w:val="000000" w:themeColor="text1"/>
          <w:sz w:val="28"/>
          <w:szCs w:val="28"/>
          <w14:textFill>
            <w14:solidFill>
              <w14:schemeClr w14:val="tx1"/>
            </w14:solidFill>
          </w14:textFill>
        </w:rPr>
        <w:t xml:space="preserve">  </w:t>
      </w:r>
    </w:p>
    <w:p>
      <w:pPr>
        <w:wordWrap w:val="0"/>
        <w:spacing w:line="560" w:lineRule="exact"/>
        <w:ind w:right="1120"/>
        <w:jc w:val="right"/>
        <w:rPr>
          <w:rFonts w:ascii="仿宋_GB2312" w:hAnsi="宋体"/>
          <w:bCs/>
          <w:color w:val="000000" w:themeColor="text1"/>
          <w:sz w:val="32"/>
          <w:szCs w:val="32"/>
          <w14:textFill>
            <w14:solidFill>
              <w14:schemeClr w14:val="tx1"/>
            </w14:solidFill>
          </w14:textFill>
        </w:rPr>
      </w:pPr>
      <w:r>
        <w:rPr>
          <w:rFonts w:hint="eastAsia" w:ascii="仿宋_GB2312" w:hAnsi="宋体"/>
          <w:bCs/>
          <w:color w:val="000000" w:themeColor="text1"/>
          <w:sz w:val="32"/>
          <w:szCs w:val="32"/>
          <w14:textFill>
            <w14:solidFill>
              <w14:schemeClr w14:val="tx1"/>
            </w14:solidFill>
          </w14:textFill>
        </w:rPr>
        <w:t>20</w:t>
      </w:r>
      <w:r>
        <w:rPr>
          <w:rFonts w:ascii="仿宋_GB2312" w:hAnsi="宋体"/>
          <w:bCs/>
          <w:color w:val="000000" w:themeColor="text1"/>
          <w:sz w:val="32"/>
          <w:szCs w:val="32"/>
          <w14:textFill>
            <w14:solidFill>
              <w14:schemeClr w14:val="tx1"/>
            </w14:solidFill>
          </w14:textFill>
        </w:rPr>
        <w:t>2</w:t>
      </w:r>
      <w:r>
        <w:rPr>
          <w:rFonts w:hint="eastAsia" w:ascii="仿宋_GB2312" w:hAnsi="宋体"/>
          <w:bCs/>
          <w:color w:val="000000" w:themeColor="text1"/>
          <w:sz w:val="32"/>
          <w:szCs w:val="32"/>
          <w:lang w:val="en-US" w:eastAsia="zh-CN"/>
          <w14:textFill>
            <w14:solidFill>
              <w14:schemeClr w14:val="tx1"/>
            </w14:solidFill>
          </w14:textFill>
        </w:rPr>
        <w:t>1</w:t>
      </w:r>
      <w:r>
        <w:rPr>
          <w:rFonts w:hint="eastAsia" w:ascii="仿宋_GB2312" w:hAnsi="宋体"/>
          <w:bCs/>
          <w:color w:val="000000" w:themeColor="text1"/>
          <w:sz w:val="32"/>
          <w:szCs w:val="32"/>
          <w14:textFill>
            <w14:solidFill>
              <w14:schemeClr w14:val="tx1"/>
            </w14:solidFill>
          </w14:textFill>
        </w:rPr>
        <w:t xml:space="preserve">年 </w:t>
      </w:r>
      <w:r>
        <w:rPr>
          <w:rFonts w:hint="eastAsia" w:ascii="仿宋_GB2312" w:hAnsi="宋体"/>
          <w:bCs/>
          <w:color w:val="000000" w:themeColor="text1"/>
          <w:sz w:val="32"/>
          <w:szCs w:val="32"/>
          <w:lang w:val="en-US" w:eastAsia="zh-CN"/>
          <w14:textFill>
            <w14:solidFill>
              <w14:schemeClr w14:val="tx1"/>
            </w14:solidFill>
          </w14:textFill>
        </w:rPr>
        <w:t>07</w:t>
      </w:r>
      <w:r>
        <w:rPr>
          <w:rFonts w:hint="eastAsia" w:ascii="仿宋_GB2312" w:hAnsi="宋体"/>
          <w:bCs/>
          <w:color w:val="000000" w:themeColor="text1"/>
          <w:sz w:val="32"/>
          <w:szCs w:val="32"/>
          <w14:textFill>
            <w14:solidFill>
              <w14:schemeClr w14:val="tx1"/>
            </w14:solidFill>
          </w14:textFill>
        </w:rPr>
        <w:t xml:space="preserve">月 </w:t>
      </w:r>
      <w:r>
        <w:rPr>
          <w:rFonts w:hint="eastAsia" w:ascii="仿宋_GB2312" w:hAnsi="宋体"/>
          <w:bCs/>
          <w:color w:val="000000" w:themeColor="text1"/>
          <w:sz w:val="32"/>
          <w:szCs w:val="32"/>
          <w:lang w:val="en-US" w:eastAsia="zh-CN"/>
          <w14:textFill>
            <w14:solidFill>
              <w14:schemeClr w14:val="tx1"/>
            </w14:solidFill>
          </w14:textFill>
        </w:rPr>
        <w:t>15</w:t>
      </w:r>
      <w:r>
        <w:rPr>
          <w:rFonts w:hint="eastAsia" w:ascii="仿宋_GB2312" w:hAnsi="宋体"/>
          <w:bCs/>
          <w:color w:val="000000" w:themeColor="text1"/>
          <w:sz w:val="32"/>
          <w:szCs w:val="32"/>
          <w14:textFill>
            <w14:solidFill>
              <w14:schemeClr w14:val="tx1"/>
            </w14:solidFill>
          </w14:textFill>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F1"/>
    <w:rsid w:val="00001B22"/>
    <w:rsid w:val="00010964"/>
    <w:rsid w:val="00014F9D"/>
    <w:rsid w:val="00031127"/>
    <w:rsid w:val="0004477B"/>
    <w:rsid w:val="00046A04"/>
    <w:rsid w:val="00047EB2"/>
    <w:rsid w:val="0007069E"/>
    <w:rsid w:val="00077D10"/>
    <w:rsid w:val="000926B5"/>
    <w:rsid w:val="000D1E2F"/>
    <w:rsid w:val="000D4AAE"/>
    <w:rsid w:val="0010062D"/>
    <w:rsid w:val="00102AA7"/>
    <w:rsid w:val="001033B3"/>
    <w:rsid w:val="0010602A"/>
    <w:rsid w:val="00126E41"/>
    <w:rsid w:val="00132E0C"/>
    <w:rsid w:val="0014787D"/>
    <w:rsid w:val="00165380"/>
    <w:rsid w:val="0017310D"/>
    <w:rsid w:val="00183BD2"/>
    <w:rsid w:val="00194C1F"/>
    <w:rsid w:val="001C3C5E"/>
    <w:rsid w:val="001D5637"/>
    <w:rsid w:val="001E26E0"/>
    <w:rsid w:val="001E7EF4"/>
    <w:rsid w:val="001F36AF"/>
    <w:rsid w:val="001F6650"/>
    <w:rsid w:val="00201A39"/>
    <w:rsid w:val="002276C6"/>
    <w:rsid w:val="002418B9"/>
    <w:rsid w:val="002564A1"/>
    <w:rsid w:val="00256954"/>
    <w:rsid w:val="00264A07"/>
    <w:rsid w:val="00266F67"/>
    <w:rsid w:val="0027394F"/>
    <w:rsid w:val="00275074"/>
    <w:rsid w:val="00275F6B"/>
    <w:rsid w:val="002F1876"/>
    <w:rsid w:val="002F3645"/>
    <w:rsid w:val="00313EDE"/>
    <w:rsid w:val="00336B4A"/>
    <w:rsid w:val="00386DC6"/>
    <w:rsid w:val="00395FE2"/>
    <w:rsid w:val="003A075E"/>
    <w:rsid w:val="003A67F1"/>
    <w:rsid w:val="003B19E1"/>
    <w:rsid w:val="003C3DA3"/>
    <w:rsid w:val="003C5583"/>
    <w:rsid w:val="003F1080"/>
    <w:rsid w:val="003F29B4"/>
    <w:rsid w:val="00401717"/>
    <w:rsid w:val="00401DC9"/>
    <w:rsid w:val="00405489"/>
    <w:rsid w:val="004134B0"/>
    <w:rsid w:val="0042500C"/>
    <w:rsid w:val="00452851"/>
    <w:rsid w:val="00454C02"/>
    <w:rsid w:val="00470502"/>
    <w:rsid w:val="00470F87"/>
    <w:rsid w:val="00472DE0"/>
    <w:rsid w:val="00473323"/>
    <w:rsid w:val="00497AC5"/>
    <w:rsid w:val="004B0A0F"/>
    <w:rsid w:val="004B319C"/>
    <w:rsid w:val="004C1189"/>
    <w:rsid w:val="004D662F"/>
    <w:rsid w:val="004E0F00"/>
    <w:rsid w:val="00501F00"/>
    <w:rsid w:val="00515EDB"/>
    <w:rsid w:val="00542F98"/>
    <w:rsid w:val="00543AE6"/>
    <w:rsid w:val="00552FBD"/>
    <w:rsid w:val="00566CC9"/>
    <w:rsid w:val="00570225"/>
    <w:rsid w:val="005933D1"/>
    <w:rsid w:val="00593FED"/>
    <w:rsid w:val="005A4799"/>
    <w:rsid w:val="005B1F0A"/>
    <w:rsid w:val="005C24E9"/>
    <w:rsid w:val="005C70D8"/>
    <w:rsid w:val="005D20BF"/>
    <w:rsid w:val="005D5E31"/>
    <w:rsid w:val="005E4295"/>
    <w:rsid w:val="006207BF"/>
    <w:rsid w:val="00631A3C"/>
    <w:rsid w:val="00637807"/>
    <w:rsid w:val="0064431A"/>
    <w:rsid w:val="0065227A"/>
    <w:rsid w:val="00655515"/>
    <w:rsid w:val="006700FC"/>
    <w:rsid w:val="00672469"/>
    <w:rsid w:val="00683C5D"/>
    <w:rsid w:val="006917C5"/>
    <w:rsid w:val="0069432D"/>
    <w:rsid w:val="006A2D8E"/>
    <w:rsid w:val="006B3BF2"/>
    <w:rsid w:val="006E5018"/>
    <w:rsid w:val="006E72C0"/>
    <w:rsid w:val="00716E46"/>
    <w:rsid w:val="00720B01"/>
    <w:rsid w:val="007244D2"/>
    <w:rsid w:val="00725480"/>
    <w:rsid w:val="00737193"/>
    <w:rsid w:val="0076048A"/>
    <w:rsid w:val="00764349"/>
    <w:rsid w:val="007667C3"/>
    <w:rsid w:val="007877E5"/>
    <w:rsid w:val="007913A3"/>
    <w:rsid w:val="007B001B"/>
    <w:rsid w:val="007B100A"/>
    <w:rsid w:val="007B3262"/>
    <w:rsid w:val="007B3F05"/>
    <w:rsid w:val="007C0C62"/>
    <w:rsid w:val="007C41FD"/>
    <w:rsid w:val="007C5C37"/>
    <w:rsid w:val="007C5D22"/>
    <w:rsid w:val="007D542A"/>
    <w:rsid w:val="007F3ADF"/>
    <w:rsid w:val="007F43ED"/>
    <w:rsid w:val="007F7AD2"/>
    <w:rsid w:val="007F7F01"/>
    <w:rsid w:val="00835B9B"/>
    <w:rsid w:val="00835E6E"/>
    <w:rsid w:val="008409ED"/>
    <w:rsid w:val="008453FD"/>
    <w:rsid w:val="00871BF4"/>
    <w:rsid w:val="00881ECF"/>
    <w:rsid w:val="00892760"/>
    <w:rsid w:val="008A5380"/>
    <w:rsid w:val="008C0A7F"/>
    <w:rsid w:val="008C6CDB"/>
    <w:rsid w:val="008D0CE4"/>
    <w:rsid w:val="008D2374"/>
    <w:rsid w:val="008D34F1"/>
    <w:rsid w:val="008E68D6"/>
    <w:rsid w:val="008E7AA0"/>
    <w:rsid w:val="008F443E"/>
    <w:rsid w:val="008F4FA7"/>
    <w:rsid w:val="00951DA6"/>
    <w:rsid w:val="00954523"/>
    <w:rsid w:val="0097603E"/>
    <w:rsid w:val="00977FE9"/>
    <w:rsid w:val="00996017"/>
    <w:rsid w:val="009A7530"/>
    <w:rsid w:val="009B0975"/>
    <w:rsid w:val="009B5AEA"/>
    <w:rsid w:val="009C1334"/>
    <w:rsid w:val="009D0729"/>
    <w:rsid w:val="009D74D2"/>
    <w:rsid w:val="009E3C0B"/>
    <w:rsid w:val="009F3F01"/>
    <w:rsid w:val="009F602B"/>
    <w:rsid w:val="00A06890"/>
    <w:rsid w:val="00A127BF"/>
    <w:rsid w:val="00A328CF"/>
    <w:rsid w:val="00A51CE5"/>
    <w:rsid w:val="00A57202"/>
    <w:rsid w:val="00A579A0"/>
    <w:rsid w:val="00A65FA3"/>
    <w:rsid w:val="00A87BC2"/>
    <w:rsid w:val="00A940B7"/>
    <w:rsid w:val="00AC2DF1"/>
    <w:rsid w:val="00AF222E"/>
    <w:rsid w:val="00AF39F0"/>
    <w:rsid w:val="00B00E2C"/>
    <w:rsid w:val="00B161FE"/>
    <w:rsid w:val="00B23714"/>
    <w:rsid w:val="00B331D6"/>
    <w:rsid w:val="00B37156"/>
    <w:rsid w:val="00B46B58"/>
    <w:rsid w:val="00B55F79"/>
    <w:rsid w:val="00B61F59"/>
    <w:rsid w:val="00B667C5"/>
    <w:rsid w:val="00B67A7F"/>
    <w:rsid w:val="00B71EB3"/>
    <w:rsid w:val="00B82041"/>
    <w:rsid w:val="00B97844"/>
    <w:rsid w:val="00BA5914"/>
    <w:rsid w:val="00BD3D08"/>
    <w:rsid w:val="00BE78A6"/>
    <w:rsid w:val="00BE7F9D"/>
    <w:rsid w:val="00BF7DEB"/>
    <w:rsid w:val="00C04DA3"/>
    <w:rsid w:val="00C06CF4"/>
    <w:rsid w:val="00C10669"/>
    <w:rsid w:val="00C11CF3"/>
    <w:rsid w:val="00C13A83"/>
    <w:rsid w:val="00C31A6B"/>
    <w:rsid w:val="00C33332"/>
    <w:rsid w:val="00C5093B"/>
    <w:rsid w:val="00C518AD"/>
    <w:rsid w:val="00C643A8"/>
    <w:rsid w:val="00C65907"/>
    <w:rsid w:val="00C75967"/>
    <w:rsid w:val="00C9015F"/>
    <w:rsid w:val="00CA6D8C"/>
    <w:rsid w:val="00CB3DB3"/>
    <w:rsid w:val="00CD5E97"/>
    <w:rsid w:val="00CE149E"/>
    <w:rsid w:val="00CE1C0D"/>
    <w:rsid w:val="00CE47E1"/>
    <w:rsid w:val="00CF2E1A"/>
    <w:rsid w:val="00D0565A"/>
    <w:rsid w:val="00D12B36"/>
    <w:rsid w:val="00D206DF"/>
    <w:rsid w:val="00D21431"/>
    <w:rsid w:val="00D4055C"/>
    <w:rsid w:val="00D8147B"/>
    <w:rsid w:val="00D81B07"/>
    <w:rsid w:val="00D863FF"/>
    <w:rsid w:val="00D9255A"/>
    <w:rsid w:val="00D94237"/>
    <w:rsid w:val="00DA012F"/>
    <w:rsid w:val="00DC1D70"/>
    <w:rsid w:val="00DE02C7"/>
    <w:rsid w:val="00DE251E"/>
    <w:rsid w:val="00DF3095"/>
    <w:rsid w:val="00E26CEA"/>
    <w:rsid w:val="00E3475D"/>
    <w:rsid w:val="00E42237"/>
    <w:rsid w:val="00E43326"/>
    <w:rsid w:val="00E53EAD"/>
    <w:rsid w:val="00E678F1"/>
    <w:rsid w:val="00E73862"/>
    <w:rsid w:val="00E74B2C"/>
    <w:rsid w:val="00E9304E"/>
    <w:rsid w:val="00E97743"/>
    <w:rsid w:val="00EA2F13"/>
    <w:rsid w:val="00EB3C07"/>
    <w:rsid w:val="00EC3F63"/>
    <w:rsid w:val="00EC740C"/>
    <w:rsid w:val="00EE00A5"/>
    <w:rsid w:val="00F06F3C"/>
    <w:rsid w:val="00F1702A"/>
    <w:rsid w:val="00F26D4E"/>
    <w:rsid w:val="00F411CB"/>
    <w:rsid w:val="00F506C3"/>
    <w:rsid w:val="00F52922"/>
    <w:rsid w:val="00F56423"/>
    <w:rsid w:val="00F57DBB"/>
    <w:rsid w:val="00F65F13"/>
    <w:rsid w:val="00F75491"/>
    <w:rsid w:val="00F9673B"/>
    <w:rsid w:val="00FA4649"/>
    <w:rsid w:val="00FB0E74"/>
    <w:rsid w:val="00FB1BD1"/>
    <w:rsid w:val="00FC00F3"/>
    <w:rsid w:val="00FC5B5C"/>
    <w:rsid w:val="00FF57E2"/>
    <w:rsid w:val="00FF5CD4"/>
    <w:rsid w:val="02AD602F"/>
    <w:rsid w:val="02AF00B3"/>
    <w:rsid w:val="02B0762E"/>
    <w:rsid w:val="02CE7EAB"/>
    <w:rsid w:val="03151AC3"/>
    <w:rsid w:val="06B17687"/>
    <w:rsid w:val="0860640D"/>
    <w:rsid w:val="0A0937E2"/>
    <w:rsid w:val="0B754F15"/>
    <w:rsid w:val="0BF36FF7"/>
    <w:rsid w:val="0C364933"/>
    <w:rsid w:val="0C540555"/>
    <w:rsid w:val="0D7350F2"/>
    <w:rsid w:val="0FEB62E3"/>
    <w:rsid w:val="10527066"/>
    <w:rsid w:val="12750247"/>
    <w:rsid w:val="130B3D11"/>
    <w:rsid w:val="147C11FC"/>
    <w:rsid w:val="14B053A7"/>
    <w:rsid w:val="1539655D"/>
    <w:rsid w:val="153B386D"/>
    <w:rsid w:val="15F0183D"/>
    <w:rsid w:val="16940223"/>
    <w:rsid w:val="170008E4"/>
    <w:rsid w:val="181025D6"/>
    <w:rsid w:val="1A4816C0"/>
    <w:rsid w:val="1A4C6BBB"/>
    <w:rsid w:val="1C471301"/>
    <w:rsid w:val="1DC21729"/>
    <w:rsid w:val="1DCC4B11"/>
    <w:rsid w:val="1FA3511C"/>
    <w:rsid w:val="1FB05D3B"/>
    <w:rsid w:val="2114547D"/>
    <w:rsid w:val="222375F7"/>
    <w:rsid w:val="227F5EAB"/>
    <w:rsid w:val="2304780B"/>
    <w:rsid w:val="25297BA2"/>
    <w:rsid w:val="25827842"/>
    <w:rsid w:val="258716CB"/>
    <w:rsid w:val="27C5207C"/>
    <w:rsid w:val="288A2A7D"/>
    <w:rsid w:val="29F13054"/>
    <w:rsid w:val="2A763612"/>
    <w:rsid w:val="2AEF07D4"/>
    <w:rsid w:val="2B9278D2"/>
    <w:rsid w:val="2E0E3CD2"/>
    <w:rsid w:val="2EB441D0"/>
    <w:rsid w:val="2F2A0283"/>
    <w:rsid w:val="32AA10B9"/>
    <w:rsid w:val="35FF5A86"/>
    <w:rsid w:val="36307512"/>
    <w:rsid w:val="36520928"/>
    <w:rsid w:val="36CC4C76"/>
    <w:rsid w:val="370016E2"/>
    <w:rsid w:val="38A1306C"/>
    <w:rsid w:val="39BA2A24"/>
    <w:rsid w:val="3A957C68"/>
    <w:rsid w:val="3BDA5482"/>
    <w:rsid w:val="3C4A2BDA"/>
    <w:rsid w:val="3DDE15E1"/>
    <w:rsid w:val="3E3E1166"/>
    <w:rsid w:val="3E612243"/>
    <w:rsid w:val="3FF52BA4"/>
    <w:rsid w:val="42984D94"/>
    <w:rsid w:val="42DF3068"/>
    <w:rsid w:val="43B66D3F"/>
    <w:rsid w:val="43CC6C26"/>
    <w:rsid w:val="452C451B"/>
    <w:rsid w:val="486662B1"/>
    <w:rsid w:val="48DB0A9A"/>
    <w:rsid w:val="495070E8"/>
    <w:rsid w:val="49604A66"/>
    <w:rsid w:val="4BB20089"/>
    <w:rsid w:val="4C1A4DC8"/>
    <w:rsid w:val="4C6B4EF9"/>
    <w:rsid w:val="4D026D32"/>
    <w:rsid w:val="4D2C74CB"/>
    <w:rsid w:val="4D9E569D"/>
    <w:rsid w:val="4FE64EF3"/>
    <w:rsid w:val="504A0E65"/>
    <w:rsid w:val="50675880"/>
    <w:rsid w:val="50C51AFA"/>
    <w:rsid w:val="50C767DA"/>
    <w:rsid w:val="53083639"/>
    <w:rsid w:val="539A53CE"/>
    <w:rsid w:val="53F0314D"/>
    <w:rsid w:val="54686BAD"/>
    <w:rsid w:val="5A7A1531"/>
    <w:rsid w:val="5B9E0AC4"/>
    <w:rsid w:val="5C040C64"/>
    <w:rsid w:val="5D2141E0"/>
    <w:rsid w:val="5D633F30"/>
    <w:rsid w:val="5E271827"/>
    <w:rsid w:val="5E797F0D"/>
    <w:rsid w:val="5F291774"/>
    <w:rsid w:val="5F31024D"/>
    <w:rsid w:val="5F43625E"/>
    <w:rsid w:val="5F6E2F1E"/>
    <w:rsid w:val="5FED1447"/>
    <w:rsid w:val="60FC3854"/>
    <w:rsid w:val="61DB24C0"/>
    <w:rsid w:val="62064B2C"/>
    <w:rsid w:val="62CA3B2A"/>
    <w:rsid w:val="62D30DE0"/>
    <w:rsid w:val="64513139"/>
    <w:rsid w:val="64E43554"/>
    <w:rsid w:val="65462B98"/>
    <w:rsid w:val="66AA3B93"/>
    <w:rsid w:val="66F2063F"/>
    <w:rsid w:val="672D4B1D"/>
    <w:rsid w:val="678F5EDC"/>
    <w:rsid w:val="67D60C4A"/>
    <w:rsid w:val="686B09A7"/>
    <w:rsid w:val="68850F92"/>
    <w:rsid w:val="6B2D53B2"/>
    <w:rsid w:val="6BC6086A"/>
    <w:rsid w:val="6C26114A"/>
    <w:rsid w:val="6D047463"/>
    <w:rsid w:val="6D1F06C3"/>
    <w:rsid w:val="6E242CF9"/>
    <w:rsid w:val="71A01E47"/>
    <w:rsid w:val="722828EB"/>
    <w:rsid w:val="72C055D8"/>
    <w:rsid w:val="74691543"/>
    <w:rsid w:val="74742163"/>
    <w:rsid w:val="75E959AD"/>
    <w:rsid w:val="7707072D"/>
    <w:rsid w:val="78E95987"/>
    <w:rsid w:val="793C11AE"/>
    <w:rsid w:val="7A6F2CDF"/>
    <w:rsid w:val="7B0336F0"/>
    <w:rsid w:val="7B160A7A"/>
    <w:rsid w:val="7B2D19F1"/>
    <w:rsid w:val="7BA65465"/>
    <w:rsid w:val="7BF417FA"/>
    <w:rsid w:val="7C6B473E"/>
    <w:rsid w:val="7C9C3B46"/>
    <w:rsid w:val="7EC2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link w:val="3"/>
    <w:qFormat/>
    <w:uiPriority w:val="0"/>
    <w:rPr>
      <w:kern w:val="2"/>
      <w:sz w:val="18"/>
      <w:szCs w:val="18"/>
    </w:rPr>
  </w:style>
  <w:style w:type="character" w:customStyle="1" w:styleId="8">
    <w:name w:val="页脚 字符"/>
    <w:link w:val="2"/>
    <w:qFormat/>
    <w:uiPriority w:val="0"/>
    <w:rPr>
      <w:kern w:val="2"/>
      <w:sz w:val="18"/>
      <w:szCs w:val="18"/>
    </w:rPr>
  </w:style>
  <w:style w:type="paragraph" w:customStyle="1" w:styleId="9">
    <w:name w:val="p0"/>
    <w:basedOn w:val="1"/>
    <w:qFormat/>
    <w:uiPriority w:val="0"/>
    <w:pPr>
      <w:widowControl/>
    </w:pPr>
    <w:rPr>
      <w:kern w:val="0"/>
      <w:sz w:val="32"/>
      <w:szCs w:val="32"/>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福州市建筑设计院</Company>
  <Pages>2</Pages>
  <Words>898</Words>
  <Characters>307</Characters>
  <Lines>2</Lines>
  <Paragraphs>2</Paragraphs>
  <TotalTime>2</TotalTime>
  <ScaleCrop>false</ScaleCrop>
  <LinksUpToDate>false</LinksUpToDate>
  <CharactersWithSpaces>1203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2019-06-19T02:15:00Z</dcterms:created>
  <dc:creator>设备用户</dc:creator>
  <cp:lastModifiedBy>风</cp:lastModifiedBy>
  <dcterms:modified xsi:type="dcterms:W3CDTF">2021-07-12T14:59:25Z</dcterms:modified>
  <dc:title>福兴经济开发区提升改造项目C1地块</dc:title>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6F969C2B48194765A7969A029361BA45</vt:lpwstr>
  </property>
</Properties>
</file>