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eastAsia="黑体"/>
          <w:bCs/>
          <w:color w:val="auto"/>
          <w:sz w:val="44"/>
          <w:szCs w:val="44"/>
        </w:rPr>
      </w:pPr>
    </w:p>
    <w:p>
      <w:pPr>
        <w:spacing w:line="240" w:lineRule="auto"/>
        <w:jc w:val="center"/>
        <w:rPr>
          <w:rFonts w:hint="eastAsia" w:ascii="仿宋" w:hAnsi="仿宋" w:eastAsia="仿宋" w:cs="仿宋"/>
          <w:b/>
          <w:bCs w:val="0"/>
          <w:color w:val="auto"/>
          <w:szCs w:val="22"/>
        </w:rPr>
      </w:pPr>
      <w:r>
        <w:rPr>
          <w:rFonts w:hint="eastAsia" w:ascii="仿宋" w:hAnsi="仿宋" w:eastAsia="仿宋" w:cs="仿宋"/>
          <w:b/>
          <w:bCs w:val="0"/>
          <w:color w:val="auto"/>
          <w:sz w:val="44"/>
          <w:szCs w:val="44"/>
        </w:rPr>
        <w:t>装配式建筑评价申请表</w:t>
      </w:r>
    </w:p>
    <w:p>
      <w:pPr>
        <w:spacing w:line="420" w:lineRule="exact"/>
        <w:jc w:val="center"/>
        <w:rPr>
          <w:b/>
          <w:color w:val="auto"/>
        </w:rPr>
      </w:pPr>
    </w:p>
    <w:p>
      <w:pPr>
        <w:spacing w:line="420" w:lineRule="exact"/>
        <w:jc w:val="center"/>
        <w:rPr>
          <w:b/>
          <w:color w:val="auto"/>
        </w:rPr>
      </w:pPr>
    </w:p>
    <w:p>
      <w:pPr>
        <w:spacing w:line="420" w:lineRule="exact"/>
        <w:jc w:val="center"/>
        <w:rPr>
          <w:b/>
          <w:color w:val="auto"/>
        </w:rPr>
      </w:pPr>
    </w:p>
    <w:p>
      <w:pPr>
        <w:spacing w:line="420" w:lineRule="exact"/>
        <w:jc w:val="center"/>
        <w:rPr>
          <w:b/>
          <w:color w:val="auto"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color w:val="auto"/>
          <w:u w:val="single"/>
        </w:rPr>
      </w:pPr>
      <w:r>
        <w:rPr>
          <w:rFonts w:hint="eastAsia"/>
          <w:b/>
          <w:color w:val="auto"/>
        </w:rPr>
        <w:t>报建编号</w:t>
      </w:r>
      <w:r>
        <w:rPr>
          <w:rFonts w:eastAsia="Times New Roman"/>
          <w:b/>
          <w:color w:val="auto"/>
          <w:u w:val="single"/>
        </w:rPr>
        <w:t xml:space="preserve"> </w:t>
      </w:r>
      <w:r>
        <w:rPr>
          <w:rFonts w:hint="eastAsia" w:eastAsia="宋体"/>
          <w:b/>
          <w:color w:val="auto"/>
          <w:u w:val="single"/>
          <w:lang w:val="en-US" w:eastAsia="zh-CN"/>
        </w:rPr>
        <w:t xml:space="preserve">    </w:t>
      </w:r>
      <w:r>
        <w:rPr>
          <w:rFonts w:eastAsia="Times New Roman"/>
          <w:b/>
          <w:color w:val="auto"/>
          <w:u w:val="single"/>
        </w:rPr>
        <w:t xml:space="preserve"> </w:t>
      </w:r>
      <w:r>
        <w:rPr>
          <w:rFonts w:hint="eastAsia" w:eastAsia="宋体"/>
          <w:b/>
          <w:color w:val="auto"/>
          <w:u w:val="single"/>
          <w:lang w:val="en-US" w:eastAsia="zh-CN"/>
        </w:rPr>
        <w:t>3501022005110103</w:t>
      </w:r>
      <w:r>
        <w:rPr>
          <w:rFonts w:eastAsia="Times New Roman"/>
          <w:b/>
          <w:color w:val="auto"/>
          <w:u w:val="single"/>
        </w:rPr>
        <w:t xml:space="preserve">    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color w:val="auto"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color w:val="auto"/>
          <w:u w:val="single"/>
        </w:rPr>
      </w:pPr>
      <w:r>
        <w:rPr>
          <w:rFonts w:hint="eastAsia" w:hAnsi="宋体"/>
          <w:b/>
          <w:color w:val="auto"/>
        </w:rPr>
        <w:t>项目名称</w:t>
      </w:r>
      <w:r>
        <w:rPr>
          <w:rFonts w:eastAsia="Times New Roman"/>
          <w:b/>
          <w:color w:val="auto"/>
          <w:u w:val="single"/>
        </w:rPr>
        <w:t xml:space="preserve"> </w:t>
      </w:r>
      <w:r>
        <w:rPr>
          <w:rFonts w:hint="eastAsia" w:eastAsia="宋体"/>
          <w:b/>
          <w:color w:val="auto"/>
          <w:u w:val="single"/>
          <w:lang w:val="en-US" w:eastAsia="zh-CN"/>
        </w:rPr>
        <w:t xml:space="preserve">         融湾·澜玥          </w:t>
      </w:r>
      <w:r>
        <w:rPr>
          <w:rFonts w:eastAsia="Times New Roman"/>
          <w:b/>
          <w:color w:val="auto"/>
          <w:u w:val="single"/>
        </w:rPr>
        <w:t xml:space="preserve">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color w:val="auto"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hAnsi="宋体"/>
          <w:b/>
          <w:color w:val="auto"/>
        </w:rPr>
      </w:pPr>
      <w:r>
        <w:rPr>
          <w:rFonts w:hint="eastAsia" w:hAnsi="宋体"/>
          <w:b/>
          <w:color w:val="auto"/>
        </w:rPr>
        <w:t>申报单位</w:t>
      </w:r>
      <w:r>
        <w:rPr>
          <w:rFonts w:eastAsia="Times New Roman"/>
          <w:b/>
          <w:color w:val="auto"/>
          <w:u w:val="single"/>
        </w:rPr>
        <w:t xml:space="preserve"> </w:t>
      </w:r>
      <w:r>
        <w:rPr>
          <w:rFonts w:hint="eastAsia" w:eastAsia="宋体"/>
          <w:b/>
          <w:color w:val="auto"/>
          <w:u w:val="single"/>
          <w:lang w:val="en-US" w:eastAsia="zh-CN"/>
        </w:rPr>
        <w:t xml:space="preserve">     </w:t>
      </w:r>
      <w:r>
        <w:rPr>
          <w:rFonts w:hint="eastAsia" w:eastAsia="宋体"/>
          <w:b/>
          <w:color w:val="auto"/>
          <w:u w:val="single"/>
          <w:lang w:eastAsia="zh-CN"/>
        </w:rPr>
        <w:t>福州融湾置业有限公司</w:t>
      </w:r>
      <w:r>
        <w:rPr>
          <w:rFonts w:hint="eastAsia" w:eastAsia="宋体"/>
          <w:b/>
          <w:color w:val="auto"/>
          <w:u w:val="single"/>
          <w:lang w:val="en-US" w:eastAsia="zh-CN"/>
        </w:rPr>
        <w:t xml:space="preserve">     </w:t>
      </w:r>
      <w:r>
        <w:rPr>
          <w:rFonts w:hint="eastAsia" w:hAnsi="宋体"/>
          <w:b/>
          <w:color w:val="auto"/>
        </w:rPr>
        <w:t>（盖章）</w:t>
      </w: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eastAsia="Times New Roman"/>
          <w:b/>
          <w:color w:val="auto"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color w:val="auto"/>
          <w:u w:val="single"/>
        </w:rPr>
      </w:pPr>
      <w:r>
        <w:rPr>
          <w:rFonts w:hint="eastAsia" w:hAnsi="宋体"/>
          <w:b/>
          <w:color w:val="auto"/>
        </w:rPr>
        <w:t>主管部门</w:t>
      </w:r>
      <w:r>
        <w:rPr>
          <w:rFonts w:eastAsia="Times New Roman"/>
          <w:b/>
          <w:color w:val="auto"/>
          <w:u w:val="single"/>
        </w:rPr>
        <w:t xml:space="preserve">    </w:t>
      </w:r>
      <w:r>
        <w:rPr>
          <w:rFonts w:hint="eastAsia" w:eastAsia="宋体"/>
          <w:b/>
          <w:color w:val="auto"/>
          <w:u w:val="single"/>
          <w:lang w:val="en-US" w:eastAsia="zh-CN"/>
        </w:rPr>
        <w:t>福州市住房和城乡建设局</w:t>
      </w:r>
      <w:r>
        <w:rPr>
          <w:rFonts w:eastAsia="Times New Roman"/>
          <w:b/>
          <w:color w:val="auto"/>
          <w:u w:val="single"/>
        </w:rPr>
        <w:t xml:space="preserve">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color w:val="auto"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Times New Roman"/>
          <w:b/>
          <w:color w:val="auto"/>
        </w:rPr>
      </w:pPr>
      <w:r>
        <w:rPr>
          <w:rFonts w:hint="eastAsia" w:hAnsi="宋体"/>
          <w:b/>
          <w:color w:val="auto"/>
        </w:rPr>
        <w:t>申报时间</w:t>
      </w:r>
      <w:r>
        <w:rPr>
          <w:rFonts w:eastAsia="Times New Roman"/>
          <w:b/>
          <w:color w:val="auto"/>
          <w:u w:val="single"/>
        </w:rPr>
        <w:t xml:space="preserve"> </w:t>
      </w:r>
      <w:r>
        <w:rPr>
          <w:rFonts w:hint="eastAsia" w:eastAsia="宋体"/>
          <w:b/>
          <w:color w:val="auto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color w:val="auto"/>
          <w:u w:val="single"/>
          <w:lang w:val="en-US" w:eastAsia="zh-CN"/>
        </w:rPr>
        <w:t>2021</w:t>
      </w:r>
      <w:r>
        <w:rPr>
          <w:rFonts w:eastAsia="Times New Roman"/>
          <w:b/>
          <w:color w:val="auto"/>
          <w:u w:val="single"/>
        </w:rPr>
        <w:t xml:space="preserve">   </w:t>
      </w:r>
      <w:r>
        <w:rPr>
          <w:rFonts w:hint="eastAsia" w:hAnsi="宋体"/>
          <w:b/>
          <w:color w:val="auto"/>
        </w:rPr>
        <w:t>年</w:t>
      </w:r>
      <w:r>
        <w:rPr>
          <w:rFonts w:eastAsia="Times New Roman"/>
          <w:b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b/>
          <w:color w:val="auto"/>
          <w:u w:val="single"/>
          <w:lang w:val="en-US" w:eastAsia="zh-CN"/>
        </w:rPr>
        <w:t>12</w:t>
      </w:r>
      <w:r>
        <w:rPr>
          <w:rFonts w:hint="eastAsia" w:ascii="仿宋" w:hAnsi="仿宋" w:eastAsia="仿宋" w:cs="仿宋"/>
          <w:b/>
          <w:color w:val="auto"/>
          <w:u w:val="single"/>
        </w:rPr>
        <w:t xml:space="preserve"> </w:t>
      </w:r>
      <w:r>
        <w:rPr>
          <w:rFonts w:eastAsia="Times New Roman"/>
          <w:b/>
          <w:color w:val="auto"/>
          <w:u w:val="single"/>
        </w:rPr>
        <w:t xml:space="preserve">  </w:t>
      </w:r>
      <w:r>
        <w:rPr>
          <w:rFonts w:hint="eastAsia" w:hAnsi="宋体"/>
          <w:b/>
          <w:color w:val="auto"/>
        </w:rPr>
        <w:t>月</w:t>
      </w:r>
      <w:r>
        <w:rPr>
          <w:rFonts w:eastAsia="Times New Roman"/>
          <w:b/>
          <w:color w:val="auto"/>
          <w:u w:val="single"/>
        </w:rPr>
        <w:t xml:space="preserve">  </w:t>
      </w:r>
      <w:r>
        <w:rPr>
          <w:rFonts w:hint="eastAsia" w:eastAsia="宋体"/>
          <w:b/>
          <w:color w:val="auto"/>
          <w:u w:val="single"/>
          <w:lang w:val="en-US" w:eastAsia="zh-CN"/>
        </w:rPr>
        <w:t>13</w:t>
      </w:r>
      <w:r>
        <w:rPr>
          <w:rFonts w:eastAsia="Times New Roman"/>
          <w:b/>
          <w:color w:val="auto"/>
          <w:u w:val="single"/>
        </w:rPr>
        <w:t xml:space="preserve">   </w:t>
      </w:r>
      <w:r>
        <w:rPr>
          <w:rFonts w:hint="eastAsia" w:hAnsi="宋体"/>
          <w:b/>
          <w:color w:val="auto"/>
        </w:rPr>
        <w:t>日</w:t>
      </w:r>
    </w:p>
    <w:p>
      <w:pPr>
        <w:tabs>
          <w:tab w:val="left" w:pos="6580"/>
          <w:tab w:val="left" w:pos="6780"/>
        </w:tabs>
        <w:spacing w:line="420" w:lineRule="exact"/>
        <w:ind w:firstLine="1348" w:firstLineChars="421"/>
        <w:rPr>
          <w:rFonts w:eastAsia="Times New Roman"/>
          <w:b/>
          <w:color w:val="auto"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  <w:color w:val="auto"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  <w:color w:val="auto"/>
        </w:rPr>
      </w:pPr>
    </w:p>
    <w:p>
      <w:pPr>
        <w:spacing w:line="440" w:lineRule="atLeast"/>
        <w:jc w:val="center"/>
        <w:rPr>
          <w:rFonts w:hint="eastAsia" w:ascii="仿宋" w:hAnsi="仿宋" w:eastAsia="仿宋" w:cs="仿宋"/>
          <w:b/>
          <w:bCs w:val="0"/>
          <w:color w:val="auto"/>
          <w:sz w:val="44"/>
        </w:rPr>
      </w:pPr>
      <w:r>
        <w:rPr>
          <w:rFonts w:eastAsia="Times New Roman"/>
          <w:bCs/>
          <w:color w:val="auto"/>
          <w:sz w:val="44"/>
        </w:rPr>
        <w:br w:type="page"/>
      </w:r>
      <w:r>
        <w:rPr>
          <w:rFonts w:hint="eastAsia" w:ascii="仿宋" w:hAnsi="仿宋" w:eastAsia="仿宋" w:cs="仿宋"/>
          <w:b/>
          <w:bCs w:val="0"/>
          <w:color w:val="auto"/>
          <w:sz w:val="44"/>
        </w:rPr>
        <w:t>填写说明</w:t>
      </w:r>
    </w:p>
    <w:p>
      <w:pPr>
        <w:spacing w:line="440" w:lineRule="atLeast"/>
        <w:jc w:val="center"/>
        <w:rPr>
          <w:rFonts w:hint="eastAsia" w:eastAsia="黑体"/>
          <w:bCs/>
          <w:color w:val="auto"/>
          <w:sz w:val="44"/>
        </w:rPr>
      </w:pPr>
    </w:p>
    <w:p>
      <w:pPr>
        <w:spacing w:line="360" w:lineRule="auto"/>
        <w:ind w:firstLine="640" w:firstLineChars="200"/>
        <w:rPr>
          <w:color w:val="auto"/>
          <w:szCs w:val="32"/>
        </w:rPr>
      </w:pPr>
      <w:r>
        <w:rPr>
          <w:color w:val="auto"/>
          <w:szCs w:val="32"/>
        </w:rPr>
        <w:t>1</w:t>
      </w:r>
      <w:r>
        <w:rPr>
          <w:rFonts w:hint="eastAsia" w:hAnsi="仿宋_GB2312"/>
          <w:color w:val="auto"/>
          <w:szCs w:val="32"/>
        </w:rPr>
        <w:t>．申报表一律采用小四号仿宋字体填写，以</w:t>
      </w:r>
      <w:r>
        <w:rPr>
          <w:color w:val="auto"/>
          <w:szCs w:val="32"/>
        </w:rPr>
        <w:t>A4</w:t>
      </w:r>
      <w:r>
        <w:rPr>
          <w:rFonts w:hint="eastAsia" w:hAnsi="仿宋_GB2312"/>
          <w:color w:val="auto"/>
          <w:szCs w:val="32"/>
        </w:rPr>
        <w:t>纸打印，一式四份。</w:t>
      </w:r>
    </w:p>
    <w:p>
      <w:pPr>
        <w:spacing w:line="360" w:lineRule="auto"/>
        <w:ind w:firstLine="640" w:firstLineChars="200"/>
        <w:rPr>
          <w:color w:val="auto"/>
          <w:szCs w:val="32"/>
        </w:rPr>
      </w:pPr>
      <w:r>
        <w:rPr>
          <w:color w:val="auto"/>
          <w:szCs w:val="32"/>
        </w:rPr>
        <w:t>2</w:t>
      </w:r>
      <w:r>
        <w:rPr>
          <w:rFonts w:hint="eastAsia" w:hAnsi="仿宋_GB2312"/>
          <w:color w:val="auto"/>
          <w:szCs w:val="32"/>
        </w:rPr>
        <w:t>．申报表封面的</w:t>
      </w:r>
      <w:r>
        <w:rPr>
          <w:color w:val="auto"/>
          <w:szCs w:val="32"/>
        </w:rPr>
        <w:t>“</w:t>
      </w:r>
      <w:r>
        <w:rPr>
          <w:rFonts w:hint="eastAsia" w:hAnsi="仿宋_GB2312"/>
          <w:color w:val="auto"/>
          <w:szCs w:val="32"/>
        </w:rPr>
        <w:t>项目名称</w:t>
      </w:r>
      <w:r>
        <w:rPr>
          <w:color w:val="auto"/>
          <w:szCs w:val="32"/>
        </w:rPr>
        <w:t>”</w:t>
      </w:r>
      <w:r>
        <w:rPr>
          <w:rFonts w:hint="eastAsia" w:hAnsi="仿宋_GB2312"/>
          <w:color w:val="auto"/>
          <w:szCs w:val="32"/>
        </w:rPr>
        <w:t>与施工许可证的</w:t>
      </w:r>
      <w:r>
        <w:rPr>
          <w:color w:val="auto"/>
          <w:szCs w:val="32"/>
        </w:rPr>
        <w:t>“</w:t>
      </w:r>
      <w:r>
        <w:rPr>
          <w:rFonts w:hint="eastAsia" w:hAnsi="仿宋_GB2312"/>
          <w:color w:val="auto"/>
          <w:szCs w:val="32"/>
        </w:rPr>
        <w:t>工程名称</w:t>
      </w:r>
      <w:r>
        <w:rPr>
          <w:color w:val="auto"/>
          <w:szCs w:val="32"/>
        </w:rPr>
        <w:t>”</w:t>
      </w:r>
      <w:r>
        <w:rPr>
          <w:rFonts w:hint="eastAsia" w:hAnsi="仿宋_GB2312"/>
          <w:color w:val="auto"/>
          <w:szCs w:val="32"/>
        </w:rPr>
        <w:t>应一致。</w:t>
      </w:r>
    </w:p>
    <w:p>
      <w:pPr>
        <w:spacing w:line="360" w:lineRule="auto"/>
        <w:ind w:firstLine="640" w:firstLineChars="200"/>
        <w:rPr>
          <w:color w:val="auto"/>
          <w:szCs w:val="32"/>
        </w:rPr>
      </w:pPr>
      <w:r>
        <w:rPr>
          <w:color w:val="auto"/>
          <w:szCs w:val="32"/>
        </w:rPr>
        <w:t>3</w:t>
      </w:r>
      <w:r>
        <w:rPr>
          <w:rFonts w:hint="eastAsia"/>
          <w:color w:val="auto"/>
          <w:szCs w:val="32"/>
        </w:rPr>
        <w:t>．</w:t>
      </w:r>
      <w:r>
        <w:rPr>
          <w:rFonts w:hint="eastAsia" w:hAnsi="仿宋_GB2312"/>
          <w:color w:val="auto"/>
          <w:szCs w:val="32"/>
        </w:rPr>
        <w:t>项目涉及的设计、施工、监理、部品部件生产单位暂未确定的填写</w:t>
      </w:r>
      <w:r>
        <w:rPr>
          <w:color w:val="auto"/>
          <w:szCs w:val="32"/>
        </w:rPr>
        <w:t>“</w:t>
      </w:r>
      <w:r>
        <w:rPr>
          <w:rFonts w:hint="eastAsia" w:hAnsi="仿宋_GB2312"/>
          <w:color w:val="auto"/>
          <w:szCs w:val="32"/>
        </w:rPr>
        <w:t>未确定</w:t>
      </w:r>
      <w:r>
        <w:rPr>
          <w:color w:val="auto"/>
          <w:szCs w:val="32"/>
        </w:rPr>
        <w:t>”</w:t>
      </w:r>
      <w:r>
        <w:rPr>
          <w:rFonts w:hint="eastAsia" w:hAnsi="仿宋_GB2312"/>
          <w:color w:val="auto"/>
          <w:szCs w:val="32"/>
        </w:rPr>
        <w:t>。</w:t>
      </w:r>
    </w:p>
    <w:p>
      <w:pPr>
        <w:spacing w:line="360" w:lineRule="auto"/>
        <w:ind w:firstLine="640" w:firstLineChars="200"/>
        <w:rPr>
          <w:color w:val="auto"/>
          <w:szCs w:val="32"/>
        </w:rPr>
      </w:pPr>
    </w:p>
    <w:p>
      <w:pPr>
        <w:spacing w:line="360" w:lineRule="auto"/>
        <w:ind w:firstLine="640" w:firstLineChars="200"/>
        <w:rPr>
          <w:color w:val="auto"/>
          <w:szCs w:val="32"/>
        </w:rPr>
      </w:pPr>
    </w:p>
    <w:p>
      <w:pPr>
        <w:spacing w:line="360" w:lineRule="auto"/>
        <w:ind w:firstLine="640" w:firstLineChars="200"/>
        <w:rPr>
          <w:color w:val="auto"/>
          <w:szCs w:val="32"/>
        </w:rPr>
      </w:pPr>
    </w:p>
    <w:p>
      <w:pPr>
        <w:spacing w:line="240" w:lineRule="atLeast"/>
        <w:rPr>
          <w:color w:val="auto"/>
          <w:sz w:val="30"/>
          <w:szCs w:val="22"/>
        </w:rPr>
      </w:pPr>
    </w:p>
    <w:p>
      <w:pPr>
        <w:spacing w:line="240" w:lineRule="atLeast"/>
        <w:rPr>
          <w:color w:val="auto"/>
          <w:sz w:val="30"/>
        </w:rPr>
      </w:pPr>
    </w:p>
    <w:p>
      <w:pPr>
        <w:spacing w:line="240" w:lineRule="atLeast"/>
        <w:rPr>
          <w:color w:val="auto"/>
          <w:sz w:val="30"/>
        </w:rPr>
      </w:pPr>
    </w:p>
    <w:p>
      <w:pPr>
        <w:spacing w:line="240" w:lineRule="atLeast"/>
        <w:rPr>
          <w:color w:val="auto"/>
          <w:sz w:val="30"/>
        </w:rPr>
      </w:pPr>
    </w:p>
    <w:p>
      <w:pPr>
        <w:spacing w:line="240" w:lineRule="atLeast"/>
        <w:rPr>
          <w:color w:val="auto"/>
          <w:sz w:val="30"/>
        </w:rPr>
      </w:pPr>
    </w:p>
    <w:p>
      <w:pPr>
        <w:spacing w:line="240" w:lineRule="atLeast"/>
        <w:rPr>
          <w:color w:val="auto"/>
          <w:sz w:val="30"/>
        </w:rPr>
      </w:pPr>
    </w:p>
    <w:p>
      <w:pPr>
        <w:spacing w:line="240" w:lineRule="atLeast"/>
        <w:rPr>
          <w:color w:val="auto"/>
          <w:sz w:val="30"/>
        </w:rPr>
      </w:pPr>
      <w:r>
        <w:rPr>
          <w:color w:val="auto"/>
          <w:sz w:val="30"/>
        </w:rPr>
        <w:br w:type="page"/>
      </w:r>
    </w:p>
    <w:tbl>
      <w:tblPr>
        <w:tblStyle w:val="4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9"/>
        <w:gridCol w:w="1328"/>
        <w:gridCol w:w="799"/>
        <w:gridCol w:w="265"/>
        <w:gridCol w:w="561"/>
        <w:gridCol w:w="182"/>
        <w:gridCol w:w="904"/>
        <w:gridCol w:w="503"/>
        <w:gridCol w:w="401"/>
        <w:gridCol w:w="735"/>
        <w:gridCol w:w="168"/>
        <w:gridCol w:w="904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9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黑体" w:hAnsi="黑体" w:eastAsia="黑体"/>
                <w:color w:val="auto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30"/>
                <w:szCs w:val="30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建筑类型</w:t>
            </w:r>
          </w:p>
        </w:tc>
        <w:tc>
          <w:tcPr>
            <w:tcW w:w="76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color w:val="auto"/>
                <w:sz w:val="30"/>
                <w:szCs w:val="22"/>
              </w:rPr>
            </w:pPr>
            <w:r>
              <w:rPr>
                <w:rFonts w:hint="eastAsia" w:ascii="仿宋_GB2312"/>
                <w:color w:val="auto"/>
                <w:sz w:val="24"/>
              </w:rPr>
              <w:sym w:font="Wingdings 2" w:char="0052"/>
            </w:r>
            <w:r>
              <w:rPr>
                <w:rFonts w:hint="eastAsia"/>
                <w:color w:val="auto"/>
                <w:sz w:val="24"/>
              </w:rPr>
              <w:t>居住建筑</w:t>
            </w:r>
            <w:r>
              <w:rPr>
                <w:color w:val="auto"/>
                <w:sz w:val="24"/>
              </w:rPr>
              <w:t xml:space="preserve">    </w:t>
            </w:r>
            <w:r>
              <w:rPr>
                <w:rFonts w:hint="eastAsia" w:ascii="仿宋_GB2312"/>
                <w:color w:val="auto"/>
                <w:sz w:val="24"/>
              </w:rPr>
              <w:sym w:font="Wingdings 2" w:char="00A3"/>
            </w:r>
            <w:r>
              <w:rPr>
                <w:rFonts w:hint="eastAsia"/>
                <w:color w:val="auto"/>
                <w:sz w:val="24"/>
              </w:rPr>
              <w:t>公共建筑</w:t>
            </w:r>
            <w:r>
              <w:rPr>
                <w:color w:val="auto"/>
                <w:sz w:val="24"/>
              </w:rPr>
              <w:t xml:space="preserve">    </w:t>
            </w:r>
            <w:r>
              <w:rPr>
                <w:rFonts w:hint="eastAsia" w:ascii="仿宋_GB2312"/>
                <w:color w:val="auto"/>
                <w:sz w:val="24"/>
              </w:rPr>
              <w:sym w:font="Wingdings 2" w:char="00A3"/>
            </w:r>
            <w:r>
              <w:rPr>
                <w:rFonts w:hint="eastAsia"/>
                <w:color w:val="auto"/>
                <w:sz w:val="24"/>
              </w:rPr>
              <w:t>其他</w:t>
            </w:r>
            <w:r>
              <w:rPr>
                <w:color w:val="auto"/>
                <w:sz w:val="24"/>
                <w:u w:val="single"/>
              </w:rPr>
              <w:t xml:space="preserve">       </w:t>
            </w:r>
            <w:r>
              <w:rPr>
                <w:rFonts w:hint="eastAsia"/>
                <w:color w:val="auto"/>
                <w:sz w:val="24"/>
              </w:rPr>
              <w:t>（选项打</w:t>
            </w:r>
            <w:r>
              <w:rPr>
                <w:rFonts w:hint="eastAsia" w:ascii="MS Mincho" w:hAnsi="MS Mincho" w:eastAsia="MS Mincho" w:cs="MS Mincho"/>
                <w:color w:val="auto"/>
                <w:sz w:val="24"/>
              </w:rPr>
              <w:t>☑</w:t>
            </w:r>
            <w:r>
              <w:rPr>
                <w:rFonts w:hint="eastAsia"/>
                <w:color w:val="auto"/>
                <w:sz w:val="24"/>
              </w:rPr>
              <w:t>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申请评价阶段</w:t>
            </w:r>
          </w:p>
        </w:tc>
        <w:tc>
          <w:tcPr>
            <w:tcW w:w="76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color w:val="auto"/>
                <w:sz w:val="30"/>
                <w:szCs w:val="22"/>
              </w:rPr>
            </w:pPr>
            <w:r>
              <w:rPr>
                <w:rFonts w:hint="eastAsia" w:ascii="仿宋_GB2312"/>
                <w:color w:val="auto"/>
                <w:sz w:val="24"/>
              </w:rPr>
              <w:sym w:font="Wingdings 2" w:char="0052"/>
            </w:r>
            <w:r>
              <w:rPr>
                <w:rFonts w:hint="eastAsia"/>
                <w:color w:val="auto"/>
                <w:sz w:val="24"/>
              </w:rPr>
              <w:t>设计阶段预评价</w:t>
            </w:r>
            <w:r>
              <w:rPr>
                <w:color w:val="auto"/>
                <w:sz w:val="24"/>
              </w:rPr>
              <w:t xml:space="preserve">            </w:t>
            </w:r>
            <w:r>
              <w:rPr>
                <w:rFonts w:hint="eastAsia" w:ascii="仿宋_GB2312"/>
                <w:color w:val="auto"/>
                <w:sz w:val="24"/>
              </w:rPr>
              <w:t>□</w:t>
            </w:r>
            <w:r>
              <w:rPr>
                <w:rFonts w:hint="eastAsia"/>
                <w:color w:val="auto"/>
                <w:sz w:val="24"/>
              </w:rPr>
              <w:t>施工阶段评价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项目名称</w:t>
            </w:r>
          </w:p>
        </w:tc>
        <w:tc>
          <w:tcPr>
            <w:tcW w:w="76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eastAsia="仿宋_GB2312"/>
                <w:color w:val="auto"/>
                <w:sz w:val="24"/>
                <w:szCs w:val="22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2"/>
                <w:lang w:eastAsia="zh-CN"/>
              </w:rPr>
              <w:t>融湾·澜玥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项目所在地</w:t>
            </w:r>
          </w:p>
        </w:tc>
        <w:tc>
          <w:tcPr>
            <w:tcW w:w="76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eastAsia="仿宋_GB2312"/>
                <w:color w:val="auto"/>
                <w:sz w:val="24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福州市鼓楼区鼓东街道温泉路西侧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实施装配式建造情况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装配式建筑</w:t>
            </w:r>
          </w:p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栋号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结构类型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建筑</w:t>
            </w:r>
          </w:p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面积</w:t>
            </w:r>
          </w:p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（</w:t>
            </w:r>
            <w:r>
              <w:rPr>
                <w:color w:val="auto"/>
                <w:sz w:val="18"/>
                <w:szCs w:val="18"/>
              </w:rPr>
              <w:t>m</w:t>
            </w:r>
            <w:r>
              <w:rPr>
                <w:color w:val="auto"/>
                <w:sz w:val="18"/>
                <w:szCs w:val="18"/>
                <w:vertAlign w:val="superscript"/>
              </w:rPr>
              <w:t>2</w:t>
            </w:r>
            <w:r>
              <w:rPr>
                <w:rFonts w:hint="eastAsia"/>
                <w:color w:val="auto"/>
                <w:sz w:val="18"/>
                <w:szCs w:val="18"/>
              </w:rPr>
              <w:t>）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主体</w:t>
            </w:r>
          </w:p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结构</w:t>
            </w:r>
            <w:r>
              <w:rPr>
                <w:color w:val="auto"/>
                <w:sz w:val="18"/>
                <w:szCs w:val="18"/>
              </w:rPr>
              <w:t>Q</w:t>
            </w:r>
            <w:r>
              <w:rPr>
                <w:color w:val="auto"/>
                <w:sz w:val="18"/>
                <w:szCs w:val="18"/>
                <w:vertAlign w:val="subscript"/>
              </w:rPr>
              <w:t>1</w:t>
            </w:r>
            <w:r>
              <w:rPr>
                <w:rFonts w:hint="eastAsia"/>
                <w:color w:val="auto"/>
                <w:sz w:val="18"/>
                <w:szCs w:val="18"/>
              </w:rPr>
              <w:t>得分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  <w:vertAlign w:val="subscript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围护墙和内隔墙</w:t>
            </w:r>
            <w:r>
              <w:rPr>
                <w:color w:val="auto"/>
                <w:sz w:val="18"/>
                <w:szCs w:val="18"/>
              </w:rPr>
              <w:t>Q</w:t>
            </w:r>
            <w:r>
              <w:rPr>
                <w:color w:val="auto"/>
                <w:sz w:val="18"/>
                <w:szCs w:val="18"/>
                <w:vertAlign w:val="subscript"/>
              </w:rPr>
              <w:t>2</w:t>
            </w:r>
          </w:p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得分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  <w:vertAlign w:val="subscript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装修与设备管线</w:t>
            </w:r>
            <w:r>
              <w:rPr>
                <w:color w:val="auto"/>
                <w:sz w:val="18"/>
                <w:szCs w:val="18"/>
              </w:rPr>
              <w:t>Q</w:t>
            </w:r>
            <w:r>
              <w:rPr>
                <w:color w:val="auto"/>
                <w:sz w:val="18"/>
                <w:szCs w:val="18"/>
                <w:vertAlign w:val="subscript"/>
              </w:rPr>
              <w:t>3</w:t>
            </w:r>
          </w:p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得分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技术</w:t>
            </w:r>
          </w:p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创新</w:t>
            </w:r>
            <w:r>
              <w:rPr>
                <w:color w:val="auto"/>
                <w:sz w:val="18"/>
                <w:szCs w:val="18"/>
              </w:rPr>
              <w:t>Q</w:t>
            </w:r>
            <w:r>
              <w:rPr>
                <w:color w:val="auto"/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color w:val="auto"/>
                <w:sz w:val="18"/>
                <w:szCs w:val="18"/>
              </w:rPr>
              <w:t>得分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单体</w:t>
            </w:r>
          </w:p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建筑</w:t>
            </w:r>
          </w:p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装配率（</w:t>
            </w:r>
            <w:r>
              <w:rPr>
                <w:color w:val="auto"/>
                <w:sz w:val="18"/>
                <w:szCs w:val="18"/>
              </w:rPr>
              <w:t>%</w:t>
            </w:r>
            <w:r>
              <w:rPr>
                <w:rFonts w:hint="eastAsia"/>
                <w:color w:val="auto"/>
                <w:sz w:val="18"/>
                <w:szCs w:val="18"/>
              </w:rPr>
              <w:t>）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评价</w:t>
            </w:r>
          </w:p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sz w:val="24"/>
                <w:szCs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3#楼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180" w:hanging="180" w:hangingChars="100"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 w:ascii="仿宋_GB2312"/>
                <w:color w:val="auto"/>
                <w:sz w:val="18"/>
                <w:szCs w:val="18"/>
              </w:rPr>
              <w:sym w:font="Wingdings 2" w:char="0052"/>
            </w:r>
            <w:r>
              <w:rPr>
                <w:rFonts w:hint="eastAsia" w:ascii="仿宋_GB2312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auto"/>
                <w:sz w:val="18"/>
                <w:szCs w:val="18"/>
              </w:rPr>
              <w:t>装配式</w:t>
            </w:r>
          </w:p>
          <w:p>
            <w:pPr>
              <w:spacing w:line="240" w:lineRule="exact"/>
              <w:ind w:left="179" w:leftChars="56" w:firstLine="73" w:firstLineChars="41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混凝土</w:t>
            </w:r>
          </w:p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ind w:left="180" w:hanging="180" w:hangingChars="100"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 w:ascii="仿宋_GB2312"/>
                <w:color w:val="auto"/>
                <w:sz w:val="18"/>
                <w:szCs w:val="18"/>
              </w:rPr>
              <w:t xml:space="preserve">□ </w:t>
            </w:r>
            <w:r>
              <w:rPr>
                <w:rFonts w:hint="eastAsia"/>
                <w:color w:val="auto"/>
                <w:sz w:val="18"/>
                <w:szCs w:val="18"/>
              </w:rPr>
              <w:t>装配式</w:t>
            </w:r>
          </w:p>
          <w:p>
            <w:pPr>
              <w:spacing w:line="240" w:lineRule="exact"/>
              <w:ind w:left="179" w:leftChars="56" w:firstLine="90" w:firstLineChars="5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钢结构</w:t>
            </w:r>
          </w:p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 w:ascii="仿宋_GB2312"/>
                <w:color w:val="auto"/>
                <w:sz w:val="18"/>
                <w:szCs w:val="18"/>
              </w:rPr>
              <w:t xml:space="preserve">□ </w:t>
            </w:r>
            <w:r>
              <w:rPr>
                <w:rFonts w:hint="eastAsia"/>
                <w:color w:val="auto"/>
                <w:sz w:val="18"/>
                <w:szCs w:val="18"/>
              </w:rPr>
              <w:t>装配式</w:t>
            </w:r>
          </w:p>
          <w:p>
            <w:pPr>
              <w:spacing w:line="240" w:lineRule="exact"/>
              <w:ind w:firstLine="253" w:firstLineChars="141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木结构</w:t>
            </w:r>
          </w:p>
          <w:p>
            <w:pPr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 w:ascii="仿宋_GB2312"/>
                <w:color w:val="auto"/>
                <w:sz w:val="18"/>
                <w:szCs w:val="18"/>
              </w:rPr>
              <w:t xml:space="preserve">□ </w:t>
            </w:r>
            <w:r>
              <w:rPr>
                <w:rFonts w:hint="eastAsia"/>
                <w:color w:val="auto"/>
                <w:sz w:val="18"/>
                <w:szCs w:val="18"/>
              </w:rPr>
              <w:t>装配式</w:t>
            </w:r>
          </w:p>
          <w:p>
            <w:pPr>
              <w:spacing w:line="240" w:lineRule="exact"/>
              <w:ind w:firstLine="253" w:firstLineChars="141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混合结构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9164.89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32.3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50.1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sz w:val="24"/>
                <w:szCs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5#楼</w:t>
            </w: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10423.61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32.2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  <w:t>50.1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sz w:val="24"/>
                <w:szCs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sz w:val="24"/>
                <w:szCs w:val="22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3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仿宋_GB2312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建设单位</w:t>
            </w:r>
          </w:p>
        </w:tc>
        <w:tc>
          <w:tcPr>
            <w:tcW w:w="4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color w:val="auto"/>
                <w:sz w:val="30"/>
                <w:szCs w:val="22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福州融湾置业有限公司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4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color w:val="auto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福清市音西街道融湾城市品牌馆2楼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color w:val="auto"/>
                <w:sz w:val="30"/>
                <w:szCs w:val="22"/>
                <w:lang w:val="en-US" w:eastAsia="zh-CN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hAnsi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--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--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2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代建单位</w:t>
            </w:r>
          </w:p>
        </w:tc>
        <w:tc>
          <w:tcPr>
            <w:tcW w:w="4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4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仿宋_GB2312"/>
                <w:color w:val="auto"/>
                <w:sz w:val="24"/>
                <w:szCs w:val="24"/>
              </w:rPr>
            </w:pPr>
            <w:r>
              <w:rPr>
                <w:rFonts w:hint="eastAsia" w:hAnsi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仿宋_GB2312"/>
                <w:color w:val="auto"/>
                <w:sz w:val="24"/>
                <w:szCs w:val="24"/>
              </w:rPr>
            </w:pPr>
            <w:r>
              <w:rPr>
                <w:rFonts w:hint="eastAsia" w:hAnsi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设计单位</w:t>
            </w:r>
          </w:p>
        </w:tc>
        <w:tc>
          <w:tcPr>
            <w:tcW w:w="4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福建福大建筑规划设计研究院有限公司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4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福建省福州市金牛山互联网产业园云1#二楼、三楼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color w:val="auto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hAnsi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--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hAnsi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--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深化设计单位</w:t>
            </w:r>
          </w:p>
        </w:tc>
        <w:tc>
          <w:tcPr>
            <w:tcW w:w="4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color w:val="auto"/>
                <w:sz w:val="30"/>
                <w:szCs w:val="22"/>
                <w:lang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福建福大建筑规划设计研究院有限公司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4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福建省福州市金牛山互联网产业园云1#二楼、三楼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hAnsi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--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hAnsi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--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施工单位</w:t>
            </w:r>
          </w:p>
        </w:tc>
        <w:tc>
          <w:tcPr>
            <w:tcW w:w="4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</w:rPr>
              <w:t>福建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鼎骏</w:t>
            </w:r>
            <w:r>
              <w:rPr>
                <w:rFonts w:hint="eastAsia"/>
                <w:color w:val="auto"/>
                <w:sz w:val="24"/>
              </w:rPr>
              <w:t>建设有限公司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4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福清市融商大厦1408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hAnsi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--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hAnsi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--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监理单位</w:t>
            </w:r>
          </w:p>
        </w:tc>
        <w:tc>
          <w:tcPr>
            <w:tcW w:w="4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福建联众工程管理有限公司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4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hAnsi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--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hAnsi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--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部品部件生产单位</w:t>
            </w:r>
          </w:p>
        </w:tc>
        <w:tc>
          <w:tcPr>
            <w:tcW w:w="4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未确定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4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hAnsi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hAnsi="仿宋_GB2312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</w:p>
        </w:tc>
      </w:tr>
    </w:tbl>
    <w:p>
      <w:pPr>
        <w:rPr>
          <w:rFonts w:ascii="Calibri" w:hAnsi="Calibri" w:eastAsia="微软雅黑"/>
          <w:color w:val="auto"/>
          <w:sz w:val="21"/>
          <w:szCs w:val="22"/>
        </w:rPr>
      </w:pPr>
      <w:r>
        <w:rPr>
          <w:color w:val="auto"/>
        </w:rPr>
        <w:br w:type="page"/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6"/>
        <w:gridCol w:w="3670"/>
        <w:gridCol w:w="3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auto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30"/>
                <w:szCs w:val="30"/>
              </w:rPr>
              <w:t>二、进度计划安排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阶</w:t>
            </w:r>
            <w:r>
              <w:rPr>
                <w:b/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color w:val="auto"/>
                <w:sz w:val="24"/>
              </w:rPr>
              <w:t>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color w:val="auto"/>
                <w:sz w:val="30"/>
                <w:szCs w:val="22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起止时间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color w:val="auto"/>
                <w:sz w:val="30"/>
                <w:szCs w:val="22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计划安排内容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设计阶段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"/>
                <w:color w:val="auto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2021年5月-2021年7月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项目方案，扩初，施工图设计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建设准备阶段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color w:val="auto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2021年 月-2021年 月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项目报批，建设单位进场准备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建设实施阶段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2021年 月-2022年 月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项目实际施工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24"/>
                <w:szCs w:val="22"/>
              </w:rPr>
            </w:pPr>
            <w:r>
              <w:rPr>
                <w:rFonts w:hint="eastAsia"/>
                <w:color w:val="auto"/>
                <w:sz w:val="24"/>
              </w:rPr>
              <w:t>竣工验收阶段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2022年 月-2022年 月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工程预验收，竣工验收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30"/>
                <w:szCs w:val="30"/>
              </w:rPr>
              <w:t>三、单位工程概况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0" w:hRule="atLeast"/>
          <w:jc w:val="center"/>
        </w:trPr>
        <w:tc>
          <w:tcPr>
            <w:tcW w:w="9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color w:val="auto"/>
                <w:sz w:val="30"/>
                <w:szCs w:val="22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项目基地位于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福州市鼓楼区鼓东街道温泉路西侧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。总建筑面积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48925.09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平方米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总建筑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计容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面积：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33303.40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平方米。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其中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3#楼、5#楼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上部结构采用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装配式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方式建造，装配建筑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计容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面积：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19588.5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‬平方米，占建筑面积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58.8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%；装配式预制构件采用预制叠合楼板、预制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内隔墙、预制楼梯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建筑单体装配率</w:t>
            </w:r>
            <w:r>
              <w:rPr>
                <w:rFonts w:hint="eastAsia" w:ascii="仿宋_GB2312"/>
                <w:color w:val="auto"/>
                <w:sz w:val="24"/>
                <w:szCs w:val="24"/>
              </w:rPr>
              <w:t>均≥50%</w:t>
            </w:r>
            <w:r>
              <w:rPr>
                <w:rFonts w:hint="eastAsia" w:ascii="仿宋_GB2312"/>
                <w:color w:val="auto"/>
                <w:sz w:val="24"/>
                <w:szCs w:val="24"/>
                <w:lang w:eastAsia="zh-CN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本工程施工图设计文件于20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06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日通过审查。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审查机构：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福州建功施工图审查有限公司</w:t>
            </w:r>
          </w:p>
          <w:p>
            <w:pPr>
              <w:spacing w:line="360" w:lineRule="auto"/>
              <w:ind w:firstLine="480" w:firstLineChars="200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审查合格书编号：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3501022005110103-TX-004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rPr>
                <w:color w:val="auto"/>
                <w:sz w:val="30"/>
              </w:rPr>
            </w:pPr>
            <w:bookmarkStart w:id="0" w:name="_GoBack"/>
            <w:bookmarkEnd w:id="0"/>
          </w:p>
          <w:p>
            <w:pPr>
              <w:rPr>
                <w:color w:val="auto"/>
                <w:sz w:val="30"/>
              </w:rPr>
            </w:pPr>
          </w:p>
          <w:p>
            <w:pPr>
              <w:rPr>
                <w:color w:val="auto"/>
                <w:sz w:val="30"/>
              </w:rPr>
            </w:pPr>
          </w:p>
          <w:p>
            <w:pPr>
              <w:rPr>
                <w:color w:val="auto"/>
                <w:sz w:val="30"/>
              </w:rPr>
            </w:pPr>
          </w:p>
          <w:p>
            <w:pPr>
              <w:rPr>
                <w:color w:val="auto"/>
                <w:sz w:val="30"/>
              </w:rPr>
            </w:pPr>
          </w:p>
          <w:p>
            <w:pPr>
              <w:rPr>
                <w:color w:val="auto"/>
                <w:sz w:val="30"/>
              </w:rPr>
            </w:pPr>
          </w:p>
          <w:p>
            <w:pPr>
              <w:rPr>
                <w:color w:val="auto"/>
                <w:sz w:val="30"/>
              </w:rPr>
            </w:pPr>
          </w:p>
          <w:p>
            <w:pPr>
              <w:rPr>
                <w:color w:val="auto"/>
                <w:sz w:val="30"/>
              </w:rPr>
            </w:pPr>
          </w:p>
          <w:p>
            <w:pPr>
              <w:rPr>
                <w:color w:val="auto"/>
                <w:sz w:val="30"/>
                <w:szCs w:val="22"/>
              </w:rPr>
            </w:pPr>
          </w:p>
        </w:tc>
      </w:tr>
    </w:tbl>
    <w:p>
      <w:pPr>
        <w:widowControl/>
        <w:jc w:val="left"/>
        <w:rPr>
          <w:color w:val="auto"/>
          <w:szCs w:val="32"/>
        </w:rPr>
        <w:sectPr>
          <w:footerReference r:id="rId3" w:type="default"/>
          <w:footerReference r:id="rId4" w:type="even"/>
          <w:pgSz w:w="11906" w:h="16838"/>
          <w:pgMar w:top="2098" w:right="1474" w:bottom="1985" w:left="1474" w:header="851" w:footer="992" w:gutter="0"/>
          <w:pgNumType w:fmt="numberInDash" w:start="1"/>
          <w:cols w:space="720" w:num="1"/>
        </w:sectPr>
      </w:pPr>
    </w:p>
    <w:p>
      <w:pPr>
        <w:rPr>
          <w:rFonts w:ascii="Calibri" w:hAnsi="Calibri" w:eastAsia="微软雅黑"/>
          <w:color w:val="auto"/>
          <w:sz w:val="21"/>
          <w:szCs w:val="22"/>
        </w:rPr>
      </w:pPr>
    </w:p>
    <w:tbl>
      <w:tblPr>
        <w:tblStyle w:val="4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842"/>
        <w:gridCol w:w="1701"/>
        <w:gridCol w:w="4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color w:val="auto"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30"/>
                <w:szCs w:val="30"/>
              </w:rPr>
              <w:t>四、评价内容简介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400" w:lineRule="exact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主体结构应用情况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firstLine="480" w:firstLineChars="20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1.1水平构件中预制部品部件的应用比例计算：</w:t>
            </w:r>
          </w:p>
          <w:tbl>
            <w:tblPr>
              <w:tblStyle w:val="4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20"/>
              <w:gridCol w:w="1575"/>
              <w:gridCol w:w="1281"/>
              <w:gridCol w:w="1281"/>
              <w:gridCol w:w="1281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6" w:hRule="atLeast"/>
                <w:jc w:val="center"/>
              </w:trPr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  <w:t>预制构件水平投影总面积(㎡)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  <w:t>建筑外轮廓总面积(㎡)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  <w:t>预制部品部件的应用比例Q1b(%)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8" w:hRule="atLeast"/>
                <w:jc w:val="center"/>
              </w:trPr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color w:val="auto"/>
                      <w:sz w:val="24"/>
                      <w:szCs w:val="22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2"/>
                      <w:lang w:val="en-US" w:eastAsia="zh-CN"/>
                    </w:rPr>
                    <w:t>3#楼</w:t>
                  </w:r>
                </w:p>
              </w:tc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_GB2312" w:eastAsia="仿宋_GB2312" w:cs="仿宋_GB2312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lang w:val="en-US" w:eastAsia="zh-CN" w:bidi="ar"/>
                    </w:rPr>
                    <w:t>7839.1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_GB2312" w:eastAsia="仿宋_GB2312" w:cs="仿宋_GB2312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lang w:val="en-US" w:eastAsia="zh-CN" w:bidi="ar"/>
                    </w:rPr>
                    <w:t>9778.71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_GB2312" w:eastAsia="仿宋_GB2312" w:cs="仿宋_GB2312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  <w:lang w:val="en-US" w:eastAsia="zh-CN"/>
                    </w:rPr>
                    <w:t>80.1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_GB2312" w:eastAsia="仿宋_GB2312" w:cs="仿宋_GB2312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  <w:lang w:val="en-US" w:eastAsia="zh-CN"/>
                    </w:rPr>
                    <w:t>30.1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8" w:hRule="atLeast"/>
                <w:jc w:val="center"/>
              </w:trPr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_GB2312" w:cs="仿宋_GB2312"/>
                      <w:color w:val="auto"/>
                      <w:sz w:val="24"/>
                      <w:szCs w:val="22"/>
                      <w:lang w:val="en-US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2"/>
                      <w:lang w:val="en-US" w:eastAsia="zh-CN"/>
                    </w:rPr>
                    <w:t>5#楼</w:t>
                  </w:r>
                </w:p>
              </w:tc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24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lang w:val="en-US" w:eastAsia="zh-CN" w:bidi="ar"/>
                    </w:rPr>
                    <w:t>8995.3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24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lang w:val="en-US" w:eastAsia="zh-CN" w:bidi="ar"/>
                    </w:rPr>
                    <w:t>11229.5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_GB2312" w:eastAsia="仿宋_GB2312" w:cs="仿宋_GB2312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  <w:lang w:val="en-US" w:eastAsia="zh-CN"/>
                    </w:rPr>
                    <w:t>80.1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_GB2312" w:eastAsia="仿宋_GB2312" w:cs="仿宋_GB2312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  <w:lang w:val="en-US" w:eastAsia="zh-CN"/>
                    </w:rPr>
                    <w:t>30.1</w:t>
                  </w:r>
                </w:p>
              </w:tc>
            </w:tr>
          </w:tbl>
          <w:p>
            <w:pPr>
              <w:spacing w:line="400" w:lineRule="exact"/>
              <w:ind w:firstLine="480" w:firstLineChars="20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/>
                <w:bCs/>
                <w:color w:val="auto"/>
                <w:sz w:val="24"/>
                <w:szCs w:val="24"/>
              </w:rPr>
              <w:t>装配式建筑设计标准化、模数化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：</w:t>
            </w:r>
          </w:p>
          <w:p>
            <w:pPr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.1、本项目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3#楼、5#楼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存在不符合1M基本模数整倍数的轴线尺寸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spacing w:line="400" w:lineRule="exact"/>
              <w:ind w:left="480" w:leftChars="150" w:firstLine="0" w:firstLineChars="0"/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本项目不存在不符合扩大模数2M、3M整倍数的楼梯间开间及进深的轴线尺寸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；</w:t>
            </w:r>
          </w:p>
          <w:p>
            <w:pPr>
              <w:spacing w:line="400" w:lineRule="exact"/>
              <w:ind w:left="480" w:leftChars="150" w:firstLine="0" w:firstLineChars="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本项目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不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存在不符合1M基本模数整倍数的层高，</w:t>
            </w:r>
          </w:p>
          <w:p>
            <w:pPr>
              <w:spacing w:line="400" w:lineRule="exact"/>
              <w:ind w:left="480" w:leftChars="150" w:firstLine="0" w:firstLineChars="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根据《福建省装配式建筑评价管理办法（试行）》闽建〔2020〕4号文规定，此项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3#楼、5#楼扣2分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；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部品部件通用化得分计算：</w:t>
            </w:r>
          </w:p>
          <w:p>
            <w:pPr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.1、本项目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3#楼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5#楼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叠合板轮廓尺寸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2720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×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1300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×60的预制叠合板个数为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203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块；轮廓尺寸相同的预制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eastAsia="zh-CN"/>
              </w:rPr>
              <w:t>混凝土梁板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构件个数＞200，轮廓尺寸相同的预制混凝土楼梯类构件个数为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120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 xml:space="preserve"> 个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根据《福建省装配式建筑评价管理办法（试行）》闽建〔2020〕4号文规定，此项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3#楼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5#楼各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得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综上，根据《福建省装配式建筑评价管理办法（试行）》闽建〔2020〕4号文规定，本项目主体结构Q1总得分为：</w:t>
            </w:r>
          </w:p>
          <w:p>
            <w:pPr>
              <w:spacing w:line="400" w:lineRule="exact"/>
              <w:ind w:firstLine="720" w:firstLineChars="30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bCs/>
                <w:color w:val="auto"/>
                <w:sz w:val="24"/>
                <w:szCs w:val="24"/>
                <w:lang w:val="en-US" w:eastAsia="zh-CN"/>
              </w:rPr>
              <w:t xml:space="preserve">3#楼   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为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Q1=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30.1+4-2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=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32.1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分</w:t>
            </w:r>
          </w:p>
          <w:p>
            <w:pPr>
              <w:spacing w:line="400" w:lineRule="exact"/>
              <w:ind w:firstLine="720" w:firstLineChars="30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bCs/>
                <w:color w:val="auto"/>
                <w:sz w:val="24"/>
                <w:szCs w:val="24"/>
                <w:lang w:val="en-US" w:eastAsia="zh-CN"/>
              </w:rPr>
              <w:t xml:space="preserve">5#楼   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为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Q1=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30.1+4-2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=3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2.1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分</w:t>
            </w:r>
          </w:p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firstLine="720" w:firstLineChars="30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firstLine="720" w:firstLineChars="30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firstLine="720" w:firstLineChars="30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firstLine="720" w:firstLineChars="30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360" w:lineRule="auto"/>
              <w:ind w:firstLine="720" w:firstLineChars="30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default" w:ascii="仿宋_GB2312" w:eastAsia="仿宋_GB2312"/>
                <w:color w:val="auto"/>
                <w:sz w:val="24"/>
                <w:szCs w:val="22"/>
                <w:lang w:val="en-US" w:eastAsia="zh-CN"/>
              </w:rPr>
            </w:pPr>
          </w:p>
          <w:p>
            <w:pPr>
              <w:spacing w:line="40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  <w:r>
              <w:rPr>
                <w:rFonts w:hint="eastAsia"/>
                <w:color w:val="auto"/>
                <w:sz w:val="24"/>
                <w:szCs w:val="24"/>
              </w:rPr>
              <w:t>．围护墙和内隔墙应用情况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本项目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#楼、5#楼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部分内隔墙采用预制内隔墙，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装配式内隔墙应用比例计算如下表：</w:t>
            </w:r>
          </w:p>
          <w:tbl>
            <w:tblPr>
              <w:tblStyle w:val="4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03"/>
              <w:gridCol w:w="1559"/>
              <w:gridCol w:w="1268"/>
              <w:gridCol w:w="1268"/>
              <w:gridCol w:w="11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160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  <w:t>装配式内隔墙面积(㎡)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  <w:t>内隔墙总面积(㎡)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  <w:t>装配式内隔墙应用比例Q2c(%)</w:t>
                  </w:r>
                </w:p>
              </w:tc>
              <w:tc>
                <w:tcPr>
                  <w:tcW w:w="11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ind w:left="480" w:hanging="480" w:hangingChars="200"/>
                    <w:jc w:val="center"/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  <w:t>评价分</w:t>
                  </w:r>
                </w:p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4"/>
                    </w:rPr>
                    <w:t>Q2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1603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_GB2312" w:cs="仿宋_GB2312"/>
                      <w:color w:val="auto"/>
                      <w:sz w:val="24"/>
                      <w:szCs w:val="22"/>
                      <w:lang w:val="en-US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2"/>
                      <w:lang w:val="en-US" w:eastAsia="zh-CN"/>
                    </w:rPr>
                    <w:t>3#楼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  <w:t>1477.0</w:t>
                  </w:r>
                </w:p>
              </w:tc>
              <w:tc>
                <w:tcPr>
                  <w:tcW w:w="12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  <w:t>1846.0</w:t>
                  </w:r>
                </w:p>
              </w:tc>
              <w:tc>
                <w:tcPr>
                  <w:tcW w:w="12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  <w:t>80.01</w:t>
                  </w:r>
                </w:p>
              </w:tc>
              <w:tc>
                <w:tcPr>
                  <w:tcW w:w="11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1603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_GB2312" w:cs="仿宋_GB2312"/>
                      <w:color w:val="auto"/>
                      <w:sz w:val="24"/>
                      <w:szCs w:val="22"/>
                      <w:lang w:val="en-US" w:eastAsia="zh-CN"/>
                    </w:rPr>
                  </w:pPr>
                  <w:r>
                    <w:rPr>
                      <w:rFonts w:hint="eastAsia" w:ascii="仿宋_GB2312" w:hAnsi="仿宋_GB2312" w:cs="仿宋_GB2312"/>
                      <w:color w:val="auto"/>
                      <w:sz w:val="24"/>
                      <w:szCs w:val="22"/>
                      <w:lang w:val="en-US" w:eastAsia="zh-CN"/>
                    </w:rPr>
                    <w:t>5#楼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  <w:t>2036.25</w:t>
                  </w:r>
                </w:p>
              </w:tc>
              <w:tc>
                <w:tcPr>
                  <w:tcW w:w="12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  <w:t>2531.5</w:t>
                  </w:r>
                </w:p>
              </w:tc>
              <w:tc>
                <w:tcPr>
                  <w:tcW w:w="12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  <w:t>80.43</w:t>
                  </w:r>
                </w:p>
              </w:tc>
              <w:tc>
                <w:tcPr>
                  <w:tcW w:w="11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"/>
                    </w:rPr>
                    <w:t>10</w:t>
                  </w:r>
                </w:p>
              </w:tc>
            </w:tr>
          </w:tbl>
          <w:p>
            <w:pPr>
              <w:spacing w:line="560" w:lineRule="exact"/>
              <w:ind w:firstLine="480" w:firstLineChars="200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本项目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#楼、5#楼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装配式内隔墙应用比例大于80%，根据《福建省装配式建筑评价管理办法（试行）》闽建〔2020〕4号文规定，本项目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#楼、5#楼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内隔墙非砌筑得分为Q2=10分。</w:t>
            </w:r>
          </w:p>
          <w:p>
            <w:pPr>
              <w:spacing w:line="560" w:lineRule="exact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  <w:r>
              <w:rPr>
                <w:rFonts w:hint="eastAsia"/>
                <w:color w:val="auto"/>
                <w:sz w:val="24"/>
                <w:szCs w:val="24"/>
              </w:rPr>
              <w:t>．装修和设备管线应用情况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全装修应满足下列要求：建筑功能空间的固定面装修和设备设施安装全部完成，达到建筑使用功能和性能的基本要求。其中，对于教育、医疗等建筑类型，在设计阶段即可明确建筑功能空间在使用和性能方面的要求和标准，其所有区域均视为可装修区域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本项目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#楼、5#楼未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采用全装修施工，此项得分为Q3=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3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  <w:r>
              <w:rPr>
                <w:rFonts w:hint="eastAsia"/>
                <w:color w:val="auto"/>
                <w:sz w:val="24"/>
                <w:szCs w:val="24"/>
              </w:rPr>
              <w:t>．技术创新应用情况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ascii="仿宋_GB2312" w:hAnsi="仿宋_GB2312" w:cs="仿宋_GB2312"/>
                <w:color w:val="auto"/>
                <w:sz w:val="24"/>
                <w:szCs w:val="24"/>
              </w:rPr>
              <w:t>4.1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、本项目在设计阶段及施工阶段均采用B</w:t>
            </w:r>
            <w:r>
              <w:rPr>
                <w:rFonts w:ascii="仿宋_GB2312" w:hAnsi="仿宋_GB2312" w:cs="仿宋_GB2312"/>
                <w:color w:val="auto"/>
                <w:sz w:val="24"/>
                <w:szCs w:val="24"/>
              </w:rPr>
              <w:t>IM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技术，在设计阶段提供主体结构、满足钢筋碰撞检查要求的预制构件B</w:t>
            </w:r>
            <w:r>
              <w:rPr>
                <w:rFonts w:ascii="仿宋_GB2312" w:hAnsi="仿宋_GB2312" w:cs="仿宋_GB2312"/>
                <w:color w:val="auto"/>
                <w:sz w:val="24"/>
                <w:szCs w:val="24"/>
              </w:rPr>
              <w:t>IM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模型、装配式内隔墙的全专业</w:t>
            </w:r>
            <w:r>
              <w:rPr>
                <w:rFonts w:ascii="仿宋_GB2312" w:hAnsi="仿宋_GB2312" w:cs="仿宋_GB2312"/>
                <w:color w:val="auto"/>
                <w:sz w:val="24"/>
                <w:szCs w:val="24"/>
              </w:rPr>
              <w:t>BIM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模型，根据</w:t>
            </w:r>
            <w:r>
              <w:rPr>
                <w:rFonts w:hint="eastAsia" w:ascii="仿宋_GB2312"/>
                <w:color w:val="auto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规定可得分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4.2、本项目采用可追溯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eastAsia="zh-CN"/>
              </w:rPr>
              <w:t>管理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系统，得分2分；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本项目技术创新应用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#楼、5#楼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得分为Q4=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rFonts w:hint="default" w:eastAsia="仿宋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仿宋_GB2312"/>
                <w:color w:val="auto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30"/>
                <w:szCs w:val="30"/>
              </w:rPr>
              <w:t>五、申报单位概况</w:t>
            </w:r>
            <w:r>
              <w:rPr>
                <w:rFonts w:hint="eastAsia" w:ascii="仿宋_GB2312"/>
                <w:color w:val="auto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（多个单位联合申报应分别介绍）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福州融湾置业有限公司属于有限责任公司，公司成立于2020年3月18日。经营范围包括许可项目：房地产开发经营；物业管理；其他未列明房地产服务；物业服务。（依法必须经批准的项目，经相关部门批准后方可开展经营活动）</w:t>
            </w:r>
          </w:p>
          <w:p>
            <w:pPr>
              <w:spacing w:line="5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color w:val="auto"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color w:val="auto"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color w:val="auto"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color w:val="auto"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color w:val="auto"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color w:val="auto"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/>
                <w:color w:val="auto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30"/>
                <w:szCs w:val="30"/>
              </w:rPr>
              <w:t>六、项目主要参加人员</w:t>
            </w:r>
            <w:r>
              <w:rPr>
                <w:rFonts w:hint="eastAsia" w:ascii="仿宋_GB2312" w:hAnsi="宋体"/>
                <w:color w:val="auto"/>
                <w:sz w:val="24"/>
              </w:rPr>
              <w:t>（包括建设、代建、工程总承包、设计、主要构件生产、施工、监理、咨询单位技术负责人）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auto"/>
                <w:sz w:val="30"/>
                <w:szCs w:val="22"/>
              </w:rPr>
            </w:pPr>
            <w:r>
              <w:rPr>
                <w:rFonts w:hint="eastAsia" w:ascii="仿宋_GB2312" w:hAnsi="宋体"/>
                <w:color w:val="auto"/>
                <w:sz w:val="24"/>
              </w:rPr>
              <w:t>姓</w:t>
            </w:r>
            <w:r>
              <w:rPr>
                <w:rFonts w:hint="eastAsia" w:ascii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hAnsi="宋体"/>
                <w:color w:val="auto"/>
                <w:sz w:val="24"/>
              </w:rPr>
              <w:t>名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auto"/>
                <w:sz w:val="30"/>
                <w:szCs w:val="22"/>
              </w:rPr>
            </w:pPr>
            <w:r>
              <w:rPr>
                <w:rFonts w:hint="eastAsia" w:ascii="仿宋_GB2312" w:hAnsi="宋体"/>
                <w:color w:val="auto"/>
                <w:sz w:val="24"/>
              </w:rPr>
              <w:t>职</w:t>
            </w:r>
            <w:r>
              <w:rPr>
                <w:rFonts w:hint="eastAsia" w:ascii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hAnsi="宋体"/>
                <w:color w:val="auto"/>
                <w:sz w:val="24"/>
              </w:rPr>
              <w:t>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auto"/>
                <w:sz w:val="30"/>
                <w:szCs w:val="22"/>
              </w:rPr>
            </w:pPr>
            <w:r>
              <w:rPr>
                <w:rFonts w:hint="eastAsia" w:ascii="仿宋_GB2312" w:hAnsi="宋体"/>
                <w:color w:val="auto"/>
                <w:sz w:val="24"/>
              </w:rPr>
              <w:t>职</w:t>
            </w:r>
            <w:r>
              <w:rPr>
                <w:rFonts w:hint="eastAsia" w:ascii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hAnsi="宋体"/>
                <w:color w:val="auto"/>
                <w:sz w:val="24"/>
              </w:rPr>
              <w:t>称</w:t>
            </w: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color w:val="auto"/>
                <w:sz w:val="30"/>
                <w:szCs w:val="22"/>
              </w:rPr>
            </w:pPr>
            <w:r>
              <w:rPr>
                <w:rFonts w:hint="eastAsia" w:ascii="仿宋_GB2312" w:hAnsi="宋体"/>
                <w:color w:val="auto"/>
                <w:sz w:val="24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color w:val="auto"/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color w:val="auto"/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color w:val="auto"/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color w:val="auto"/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color w:val="auto"/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color w:val="auto"/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color w:val="auto"/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color w:val="auto"/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color w:val="auto"/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color w:val="auto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30"/>
                <w:szCs w:val="30"/>
              </w:rPr>
              <w:t>七、项目综合效益分析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560" w:lineRule="exact"/>
              <w:ind w:left="240" w:leftChars="0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1.本项目内隔墙为装配式内墙板，装配式内墙板采用工厂规格化生产，现场装配式安装，可以有效减少现场湿作业，加快施工效率，缩短工期，减少环境污染。 </w:t>
            </w:r>
          </w:p>
          <w:p>
            <w:pPr>
              <w:spacing w:line="560" w:lineRule="exact"/>
              <w:ind w:left="240" w:leftChars="75" w:firstLine="0" w:firstLineChars="0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2.本项目预制叠合板设计遵循少规格、多组合的原则，力求做到安全适用、技术先进、经济合理、质量可靠。</w:t>
            </w:r>
          </w:p>
          <w:p>
            <w:pPr>
              <w:spacing w:line="560" w:lineRule="exact"/>
              <w:ind w:left="240" w:leftChars="75" w:firstLine="0" w:firstLineChars="0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3.通过 BIM 技术的三维空间特性，对复杂结构进行碰撞检查，对关键部位节点进行碰撞检查优化钢筋排布，生成预制构件制造图及物料清单，有效提高装配式建筑构件生产、施工吊装、工程造价、运维等生命周期的效率与质量。</w:t>
            </w:r>
          </w:p>
          <w:p>
            <w:pPr>
              <w:spacing w:line="560" w:lineRule="exact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spacing w:line="560" w:lineRule="exact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color w:val="auto"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30"/>
                <w:szCs w:val="30"/>
              </w:rPr>
              <w:t>八、申报单位意见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</w:rPr>
              <w:t>本项目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#楼、5#楼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</w:rPr>
              <w:t>实施装配式建造，其中主体结构部分的分值不低于30分，围护墙和内隔墙部分的分值不低于10分，技术创新的分值不低于5分，装配率不低于50%，符合《福建省装配式建筑评价管理办法（试行）》闽建〔2020〕4号文中规定的要求，现申请装配式建筑实施方案专项审查。</w:t>
            </w:r>
          </w:p>
          <w:p>
            <w:pPr>
              <w:snapToGrid w:val="0"/>
              <w:spacing w:line="480" w:lineRule="exact"/>
              <w:rPr>
                <w:rFonts w:hint="default" w:eastAsia="仿宋_GB2312"/>
                <w:color w:val="auto"/>
                <w:sz w:val="30"/>
                <w:szCs w:val="22"/>
                <w:lang w:val="en-US" w:eastAsia="zh-CN"/>
              </w:rPr>
            </w:pPr>
          </w:p>
          <w:p>
            <w:pPr>
              <w:snapToGrid w:val="0"/>
              <w:spacing w:line="480" w:lineRule="exact"/>
              <w:rPr>
                <w:rFonts w:hint="default" w:eastAsia="仿宋_GB2312"/>
                <w:color w:val="auto"/>
                <w:sz w:val="30"/>
                <w:szCs w:val="22"/>
                <w:lang w:val="en-US" w:eastAsia="zh-CN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ind w:firstLine="6840" w:firstLineChars="2850"/>
              <w:rPr>
                <w:rFonts w:ascii="仿宋_GB2312"/>
                <w:color w:val="auto"/>
                <w:sz w:val="24"/>
              </w:rPr>
            </w:pPr>
            <w:r>
              <w:rPr>
                <w:rFonts w:hint="eastAsia" w:ascii="仿宋_GB2312" w:hAnsi="宋体"/>
                <w:color w:val="auto"/>
                <w:sz w:val="24"/>
              </w:rPr>
              <w:t>（盖章）</w:t>
            </w:r>
          </w:p>
          <w:p>
            <w:pPr>
              <w:rPr>
                <w:rFonts w:hint="eastAsia" w:ascii="仿宋_GB2312"/>
                <w:color w:val="auto"/>
                <w:sz w:val="24"/>
              </w:rPr>
            </w:pPr>
          </w:p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  <w:r>
              <w:rPr>
                <w:rFonts w:hint="eastAsia" w:ascii="仿宋_GB2312"/>
                <w:color w:val="auto"/>
                <w:sz w:val="24"/>
              </w:rPr>
              <w:t xml:space="preserve">                                                  </w:t>
            </w:r>
            <w:r>
              <w:rPr>
                <w:rFonts w:hint="eastAsia" w:ascii="仿宋_GB2312" w:hAnsi="宋体"/>
                <w:color w:val="auto"/>
                <w:sz w:val="24"/>
              </w:rPr>
              <w:t>年</w:t>
            </w:r>
            <w:r>
              <w:rPr>
                <w:rFonts w:hint="eastAsia" w:ascii="仿宋_GB2312"/>
                <w:color w:val="auto"/>
                <w:sz w:val="24"/>
              </w:rPr>
              <w:t xml:space="preserve">      </w:t>
            </w:r>
            <w:r>
              <w:rPr>
                <w:rFonts w:hint="eastAsia" w:ascii="仿宋_GB2312" w:hAnsi="宋体"/>
                <w:color w:val="auto"/>
                <w:sz w:val="24"/>
              </w:rPr>
              <w:t>月</w:t>
            </w:r>
            <w:r>
              <w:rPr>
                <w:rFonts w:hint="eastAsia" w:ascii="仿宋_GB2312"/>
                <w:color w:val="auto"/>
                <w:sz w:val="24"/>
              </w:rPr>
              <w:t xml:space="preserve">      </w:t>
            </w:r>
            <w:r>
              <w:rPr>
                <w:rFonts w:hint="eastAsia" w:ascii="仿宋_GB2312" w:hAnsi="宋体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color w:val="auto"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30"/>
                <w:szCs w:val="30"/>
              </w:rPr>
              <w:t>九、专家组意见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2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2"/>
              </w:numPr>
              <w:spacing w:line="500" w:lineRule="exact"/>
              <w:ind w:firstLine="480" w:firstLineChars="20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  <w:t>该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工程采用装配式建造的建筑计容面积大于新建地上计容面积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%，满足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val="en-US" w:eastAsia="zh-CN"/>
              </w:rPr>
              <w:t>福州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市人民政府文件榕政综〔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val="en-US" w:eastAsia="zh-CN"/>
              </w:rPr>
              <w:t>2017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〕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val="en-US" w:eastAsia="zh-CN"/>
              </w:rPr>
              <w:t>1164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号文相关要求。</w:t>
            </w:r>
          </w:p>
          <w:p>
            <w:pPr>
              <w:spacing w:line="500" w:lineRule="exact"/>
              <w:ind w:firstLine="480" w:firstLineChars="200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（2）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  <w:t>该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工程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#楼、5#楼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装配式建筑设计相关资料完整，其主体结构、围护墙和内隔墙、技术创新部分的分值均不低于最低分值要求，各单体建筑装配率均不低于50%，符合《福建省装配式建筑评价管理办法（试行）》（闽建〔2020〕4号）的相关规定，同意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  <w:t>该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工程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#楼、5#楼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设计阶段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  <w:t>预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评价为装配式建筑。</w:t>
            </w:r>
          </w:p>
          <w:p>
            <w:pPr>
              <w:spacing w:line="5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结论：同意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  <w:t>该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工程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#楼、5#楼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设计阶段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  <w:t>预评价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为装配式建筑。</w:t>
            </w: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</w:p>
          <w:p>
            <w:pPr>
              <w:spacing w:line="560" w:lineRule="exact"/>
              <w:rPr>
                <w:color w:val="auto"/>
                <w:sz w:val="24"/>
                <w:szCs w:val="24"/>
              </w:rPr>
            </w:pPr>
          </w:p>
          <w:p>
            <w:pPr>
              <w:wordWrap w:val="0"/>
              <w:spacing w:line="560" w:lineRule="exact"/>
              <w:ind w:right="360"/>
              <w:jc w:val="both"/>
              <w:rPr>
                <w:rFonts w:hint="eastAsia" w:hAnsi="仿宋_GB2312"/>
                <w:color w:val="auto"/>
                <w:sz w:val="24"/>
                <w:szCs w:val="24"/>
              </w:rPr>
            </w:pPr>
          </w:p>
          <w:p>
            <w:pPr>
              <w:wordWrap w:val="0"/>
              <w:spacing w:line="560" w:lineRule="exact"/>
              <w:ind w:right="360"/>
              <w:jc w:val="both"/>
              <w:rPr>
                <w:rFonts w:hint="eastAsia" w:hAnsi="仿宋_GB2312"/>
                <w:color w:val="auto"/>
                <w:sz w:val="24"/>
                <w:szCs w:val="24"/>
              </w:rPr>
            </w:pPr>
          </w:p>
          <w:p>
            <w:pPr>
              <w:wordWrap w:val="0"/>
              <w:spacing w:line="560" w:lineRule="exact"/>
              <w:ind w:right="360"/>
              <w:jc w:val="both"/>
              <w:rPr>
                <w:color w:val="auto"/>
                <w:sz w:val="24"/>
                <w:szCs w:val="24"/>
              </w:rPr>
            </w:pPr>
            <w:r>
              <w:rPr>
                <w:rFonts w:hint="eastAsia" w:hAnsi="仿宋_GB2312"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color w:val="auto"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30"/>
                <w:szCs w:val="30"/>
              </w:rPr>
              <w:t>十、设区市住房城乡建设主管部门意见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7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spacing w:line="560" w:lineRule="exact"/>
              <w:rPr>
                <w:color w:val="auto"/>
                <w:sz w:val="30"/>
              </w:rPr>
            </w:pPr>
          </w:p>
          <w:p>
            <w:pPr>
              <w:ind w:firstLine="7200" w:firstLineChars="3000"/>
              <w:rPr>
                <w:rFonts w:ascii="仿宋_GB2312"/>
                <w:color w:val="auto"/>
                <w:sz w:val="24"/>
              </w:rPr>
            </w:pPr>
            <w:r>
              <w:rPr>
                <w:rFonts w:hint="eastAsia" w:ascii="仿宋_GB2312" w:hAnsi="宋体"/>
                <w:color w:val="auto"/>
                <w:sz w:val="24"/>
              </w:rPr>
              <w:t>（盖章）</w:t>
            </w:r>
          </w:p>
          <w:p>
            <w:pPr>
              <w:rPr>
                <w:rFonts w:hint="eastAsia" w:ascii="仿宋_GB2312"/>
                <w:color w:val="auto"/>
                <w:sz w:val="24"/>
              </w:rPr>
            </w:pPr>
          </w:p>
          <w:p>
            <w:pPr>
              <w:spacing w:line="560" w:lineRule="exact"/>
              <w:rPr>
                <w:color w:val="auto"/>
                <w:sz w:val="30"/>
                <w:szCs w:val="22"/>
              </w:rPr>
            </w:pPr>
            <w:r>
              <w:rPr>
                <w:rFonts w:hint="eastAsia" w:ascii="仿宋_GB2312"/>
                <w:color w:val="auto"/>
                <w:sz w:val="24"/>
              </w:rPr>
              <w:t xml:space="preserve">                                                       </w:t>
            </w:r>
            <w:r>
              <w:rPr>
                <w:rFonts w:hint="eastAsia" w:ascii="仿宋_GB2312" w:hAnsi="宋体"/>
                <w:color w:val="auto"/>
                <w:sz w:val="24"/>
              </w:rPr>
              <w:t>年</w:t>
            </w:r>
            <w:r>
              <w:rPr>
                <w:rFonts w:hint="eastAsia" w:ascii="仿宋_GB2312"/>
                <w:color w:val="auto"/>
                <w:sz w:val="24"/>
              </w:rPr>
              <w:t xml:space="preserve">      </w:t>
            </w:r>
            <w:r>
              <w:rPr>
                <w:rFonts w:hint="eastAsia" w:ascii="仿宋_GB2312" w:hAnsi="宋体"/>
                <w:color w:val="auto"/>
                <w:sz w:val="24"/>
              </w:rPr>
              <w:t>月</w:t>
            </w:r>
            <w:r>
              <w:rPr>
                <w:rFonts w:hint="eastAsia" w:ascii="仿宋_GB2312"/>
                <w:color w:val="auto"/>
                <w:sz w:val="24"/>
              </w:rPr>
              <w:t xml:space="preserve">      </w:t>
            </w:r>
            <w:r>
              <w:rPr>
                <w:rFonts w:hint="eastAsia" w:ascii="仿宋_GB2312" w:hAnsi="宋体"/>
                <w:color w:val="auto"/>
                <w:sz w:val="24"/>
              </w:rPr>
              <w:t>日</w:t>
            </w:r>
          </w:p>
        </w:tc>
      </w:tr>
    </w:tbl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- 2 -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B10717"/>
    <w:multiLevelType w:val="singleLevel"/>
    <w:tmpl w:val="DDB10717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24265AF"/>
    <w:multiLevelType w:val="singleLevel"/>
    <w:tmpl w:val="E24265AF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D4DE7"/>
    <w:rsid w:val="064A710E"/>
    <w:rsid w:val="069B3408"/>
    <w:rsid w:val="077430A8"/>
    <w:rsid w:val="07BB6736"/>
    <w:rsid w:val="07F816F8"/>
    <w:rsid w:val="089A3842"/>
    <w:rsid w:val="0A34081A"/>
    <w:rsid w:val="0BC1638D"/>
    <w:rsid w:val="0E196CBB"/>
    <w:rsid w:val="0F7B0480"/>
    <w:rsid w:val="10D15FA2"/>
    <w:rsid w:val="137429AE"/>
    <w:rsid w:val="13FC35A3"/>
    <w:rsid w:val="16404D85"/>
    <w:rsid w:val="16670CCE"/>
    <w:rsid w:val="16CD2B47"/>
    <w:rsid w:val="16E159E1"/>
    <w:rsid w:val="185111C8"/>
    <w:rsid w:val="1930413D"/>
    <w:rsid w:val="19C15492"/>
    <w:rsid w:val="1D2A7F2E"/>
    <w:rsid w:val="1DD81F6D"/>
    <w:rsid w:val="20F93E73"/>
    <w:rsid w:val="21A61866"/>
    <w:rsid w:val="236D7AB3"/>
    <w:rsid w:val="23782244"/>
    <w:rsid w:val="27306C03"/>
    <w:rsid w:val="279B03BB"/>
    <w:rsid w:val="28A312D5"/>
    <w:rsid w:val="2C77198A"/>
    <w:rsid w:val="2CF35CA8"/>
    <w:rsid w:val="2D23042D"/>
    <w:rsid w:val="2D406A51"/>
    <w:rsid w:val="2E6A3AE3"/>
    <w:rsid w:val="314F7719"/>
    <w:rsid w:val="316B387E"/>
    <w:rsid w:val="32463B61"/>
    <w:rsid w:val="341C57F7"/>
    <w:rsid w:val="36793321"/>
    <w:rsid w:val="36960BD4"/>
    <w:rsid w:val="372104C0"/>
    <w:rsid w:val="37DD494A"/>
    <w:rsid w:val="39F12BD2"/>
    <w:rsid w:val="3BB12E89"/>
    <w:rsid w:val="3E2C6309"/>
    <w:rsid w:val="3E9B1BA9"/>
    <w:rsid w:val="40EA72E1"/>
    <w:rsid w:val="42B35514"/>
    <w:rsid w:val="43806C9D"/>
    <w:rsid w:val="44975A23"/>
    <w:rsid w:val="44DD1DB8"/>
    <w:rsid w:val="46031B86"/>
    <w:rsid w:val="471758B5"/>
    <w:rsid w:val="479A508B"/>
    <w:rsid w:val="485533B5"/>
    <w:rsid w:val="49313AEB"/>
    <w:rsid w:val="49760F14"/>
    <w:rsid w:val="4C0C11F2"/>
    <w:rsid w:val="4D0D1064"/>
    <w:rsid w:val="4F8A393E"/>
    <w:rsid w:val="504E37DA"/>
    <w:rsid w:val="507E2F16"/>
    <w:rsid w:val="508A5BFE"/>
    <w:rsid w:val="51847294"/>
    <w:rsid w:val="52933DAC"/>
    <w:rsid w:val="534E47C6"/>
    <w:rsid w:val="545A1EB8"/>
    <w:rsid w:val="5496685F"/>
    <w:rsid w:val="59B7256B"/>
    <w:rsid w:val="59C01036"/>
    <w:rsid w:val="5A667BFB"/>
    <w:rsid w:val="5B414490"/>
    <w:rsid w:val="5B704AEB"/>
    <w:rsid w:val="5B9D475B"/>
    <w:rsid w:val="5C074D4C"/>
    <w:rsid w:val="5C571979"/>
    <w:rsid w:val="5D264FA0"/>
    <w:rsid w:val="5D2C0D71"/>
    <w:rsid w:val="5D4942F4"/>
    <w:rsid w:val="5DE83CE6"/>
    <w:rsid w:val="615908E3"/>
    <w:rsid w:val="61AD5746"/>
    <w:rsid w:val="6396666C"/>
    <w:rsid w:val="65457D67"/>
    <w:rsid w:val="666939ED"/>
    <w:rsid w:val="678868E5"/>
    <w:rsid w:val="67B160CB"/>
    <w:rsid w:val="68311D68"/>
    <w:rsid w:val="69925828"/>
    <w:rsid w:val="6B683AC3"/>
    <w:rsid w:val="6CE76860"/>
    <w:rsid w:val="6DC51EBF"/>
    <w:rsid w:val="724228A4"/>
    <w:rsid w:val="72C3572F"/>
    <w:rsid w:val="72D81251"/>
    <w:rsid w:val="7373414F"/>
    <w:rsid w:val="73A81E8E"/>
    <w:rsid w:val="75BC42B9"/>
    <w:rsid w:val="768D7BF0"/>
    <w:rsid w:val="79373839"/>
    <w:rsid w:val="7BB437F5"/>
    <w:rsid w:val="7BE27529"/>
    <w:rsid w:val="7DAF798F"/>
    <w:rsid w:val="7E7F530E"/>
    <w:rsid w:val="7F5834C9"/>
    <w:rsid w:val="7F8D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rPr>
      <w:rFonts w:ascii="宋体" w:hAnsi="宋体" w:eastAsia="宋体" w:cs="宋体"/>
      <w:kern w:val="0"/>
      <w:sz w:val="24"/>
      <w:szCs w:val="24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2021-05-08T06:19:00Z</dcterms:created>
  <dc:creator>Administrator</dc:creator>
  <cp:lastModifiedBy>陈弘扬</cp:lastModifiedBy>
  <dcterms:modified xsi:type="dcterms:W3CDTF">2022-01-14T07:23:28Z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EBE967A0E82440A481372BC77558E493</vt:lpwstr>
  </property>
</Properties>
</file>