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abs>
          <w:tab w:val="left" w:pos="709"/>
        </w:tabs>
        <w:spacing w:line="500" w:lineRule="exact"/>
        <w:ind w:firstLine="640" w:firstLineChars="200"/>
        <w:rPr>
          <w:rFonts w:ascii="黑体" w:hAnsi="黑体" w:eastAsia="黑体"/>
          <w:bCs/>
          <w:color w:val="000000" w:themeColor="text1"/>
          <w:szCs w:val="28"/>
        </w:rPr>
      </w:pPr>
      <w:r>
        <w:rPr>
          <w:rFonts w:hint="eastAsia" w:ascii="黑体" w:hAnsi="黑体" w:eastAsia="黑体"/>
          <w:color w:val="000000" w:themeColor="text1"/>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color w:val="000000" w:themeColor="text1"/>
          <w:szCs w:val="32"/>
        </w:rPr>
        <w:instrText xml:space="preserve">ADDIN CNKISM.UserStyle</w:instrText>
      </w:r>
      <w:r>
        <w:rPr>
          <w:rFonts w:hint="eastAsia" w:ascii="黑体" w:hAnsi="黑体" w:eastAsia="黑体"/>
          <w:color w:val="000000" w:themeColor="text1"/>
          <w:szCs w:val="32"/>
        </w:rPr>
        <w:fldChar w:fldCharType="end"/>
      </w:r>
      <w:r>
        <w:rPr>
          <w:rFonts w:hint="eastAsia" w:ascii="黑体" w:hAnsi="黑体" w:eastAsia="黑体"/>
          <w:color w:val="000000" w:themeColor="text1"/>
          <w:szCs w:val="32"/>
        </w:rPr>
        <w:t>附件2</w:t>
      </w:r>
    </w:p>
    <w:p>
      <w:pPr>
        <w:spacing w:line="540" w:lineRule="exact"/>
        <w:jc w:val="center"/>
        <w:rPr>
          <w:rFonts w:eastAsia="黑体"/>
          <w:bCs/>
          <w:color w:val="000000" w:themeColor="text1"/>
          <w:sz w:val="44"/>
          <w:szCs w:val="44"/>
        </w:rPr>
      </w:pPr>
    </w:p>
    <w:p>
      <w:pPr>
        <w:spacing w:line="540" w:lineRule="exact"/>
        <w:jc w:val="center"/>
        <w:rPr>
          <w:rFonts w:eastAsia="黑体"/>
          <w:bCs/>
          <w:color w:val="000000" w:themeColor="text1"/>
          <w:sz w:val="44"/>
          <w:szCs w:val="44"/>
        </w:rPr>
      </w:pPr>
    </w:p>
    <w:p>
      <w:pPr>
        <w:spacing w:line="540" w:lineRule="exact"/>
        <w:jc w:val="center"/>
        <w:rPr>
          <w:rFonts w:eastAsia="黑体"/>
          <w:bCs/>
          <w:color w:val="000000" w:themeColor="text1"/>
          <w:sz w:val="44"/>
          <w:szCs w:val="44"/>
        </w:rPr>
      </w:pPr>
    </w:p>
    <w:p>
      <w:pPr>
        <w:spacing w:line="540" w:lineRule="exact"/>
        <w:jc w:val="center"/>
        <w:rPr>
          <w:rFonts w:ascii="方正小标宋简体" w:eastAsia="方正小标宋简体"/>
          <w:bCs/>
          <w:color w:val="000000" w:themeColor="text1"/>
          <w:sz w:val="44"/>
          <w:szCs w:val="44"/>
        </w:rPr>
      </w:pPr>
      <w:r>
        <w:rPr>
          <w:rFonts w:hint="eastAsia" w:ascii="方正小标宋简体" w:hAnsi="黑体" w:eastAsia="方正小标宋简体"/>
          <w:bCs/>
          <w:color w:val="000000" w:themeColor="text1"/>
          <w:sz w:val="44"/>
          <w:szCs w:val="44"/>
        </w:rPr>
        <w:t>装配式建筑评价申请表</w:t>
      </w:r>
    </w:p>
    <w:p>
      <w:pPr>
        <w:spacing w:line="420" w:lineRule="exact"/>
        <w:jc w:val="center"/>
        <w:rPr>
          <w:b/>
          <w:color w:val="000000" w:themeColor="text1"/>
        </w:rPr>
      </w:pPr>
    </w:p>
    <w:p>
      <w:pPr>
        <w:spacing w:line="420" w:lineRule="exact"/>
        <w:jc w:val="center"/>
        <w:rPr>
          <w:b/>
          <w:color w:val="000000" w:themeColor="text1"/>
        </w:rPr>
      </w:pPr>
    </w:p>
    <w:p>
      <w:pPr>
        <w:spacing w:line="420" w:lineRule="exact"/>
        <w:jc w:val="center"/>
        <w:rPr>
          <w:b/>
          <w:color w:val="000000" w:themeColor="text1"/>
        </w:rPr>
      </w:pPr>
    </w:p>
    <w:p>
      <w:pPr>
        <w:spacing w:line="420" w:lineRule="exact"/>
        <w:jc w:val="center"/>
        <w:rPr>
          <w:b/>
          <w:color w:val="000000" w:themeColor="text1"/>
        </w:rPr>
      </w:pPr>
    </w:p>
    <w:p>
      <w:pPr>
        <w:spacing w:line="420" w:lineRule="exact"/>
        <w:jc w:val="center"/>
        <w:rPr>
          <w:b/>
          <w:color w:val="000000" w:themeColor="text1"/>
        </w:rPr>
      </w:pPr>
    </w:p>
    <w:p>
      <w:pPr>
        <w:tabs>
          <w:tab w:val="left" w:pos="6580"/>
          <w:tab w:val="left" w:pos="6780"/>
        </w:tabs>
        <w:spacing w:line="360" w:lineRule="auto"/>
        <w:ind w:firstLine="1606" w:firstLineChars="500"/>
        <w:rPr>
          <w:rFonts w:hint="eastAsia" w:hAnsi="宋体" w:eastAsia="仿宋"/>
          <w:b/>
          <w:color w:val="000000" w:themeColor="text1"/>
          <w:u w:val="single"/>
          <w:lang w:val="en-US" w:eastAsia="zh-CN"/>
        </w:rPr>
      </w:pPr>
      <w:r>
        <w:rPr>
          <w:rFonts w:hint="eastAsia"/>
          <w:b/>
          <w:color w:val="000000" w:themeColor="text1"/>
        </w:rPr>
        <w:t>报建编号</w:t>
      </w:r>
      <w:r>
        <w:rPr>
          <w:rFonts w:hint="eastAsia" w:ascii="仿宋" w:hAnsi="仿宋" w:eastAsia="仿宋" w:cs="仿宋"/>
          <w:b/>
          <w:color w:val="000000" w:themeColor="text1"/>
          <w:u w:val="single"/>
        </w:rPr>
        <w:t xml:space="preserve">      3501112005090191</w:t>
      </w:r>
      <w:r>
        <w:rPr>
          <w:rFonts w:hint="eastAsia" w:ascii="仿宋" w:hAnsi="仿宋" w:eastAsia="仿宋" w:cs="仿宋"/>
          <w:b/>
          <w:color w:val="000000" w:themeColor="text1"/>
          <w:u w:val="single"/>
          <w:lang w:val="en-US" w:eastAsia="zh-CN"/>
        </w:rPr>
        <w:t xml:space="preserve">           </w:t>
      </w:r>
      <w:r>
        <w:rPr>
          <w:rFonts w:hint="eastAsia" w:ascii="仿宋" w:hAnsi="仿宋" w:eastAsia="仿宋" w:cs="仿宋"/>
          <w:b/>
          <w:color w:val="000000" w:themeColor="text1"/>
          <w:u w:val="single"/>
        </w:rPr>
        <w:t xml:space="preserve"> </w:t>
      </w:r>
      <w:r>
        <w:rPr>
          <w:rFonts w:hint="eastAsia" w:ascii="仿宋" w:hAnsi="仿宋" w:eastAsia="仿宋" w:cs="仿宋"/>
          <w:b/>
          <w:color w:val="000000" w:themeColor="text1"/>
          <w:u w:val="single"/>
          <w:lang w:val="en-US" w:eastAsia="zh-CN"/>
        </w:rPr>
        <w:t xml:space="preserve"> </w:t>
      </w:r>
    </w:p>
    <w:p>
      <w:pPr>
        <w:tabs>
          <w:tab w:val="left" w:pos="6580"/>
          <w:tab w:val="left" w:pos="6780"/>
        </w:tabs>
        <w:spacing w:line="360" w:lineRule="auto"/>
        <w:ind w:firstLine="1606" w:firstLineChars="500"/>
        <w:rPr>
          <w:b/>
          <w:color w:val="000000" w:themeColor="text1"/>
        </w:rPr>
      </w:pPr>
    </w:p>
    <w:p>
      <w:pPr>
        <w:tabs>
          <w:tab w:val="left" w:pos="6580"/>
          <w:tab w:val="left" w:pos="6780"/>
        </w:tabs>
        <w:spacing w:line="360" w:lineRule="auto"/>
        <w:ind w:firstLine="1606" w:firstLineChars="500"/>
        <w:rPr>
          <w:rFonts w:eastAsia="仿宋"/>
          <w:b/>
          <w:color w:val="000000" w:themeColor="text1"/>
          <w:u w:val="single"/>
        </w:rPr>
      </w:pPr>
      <w:r>
        <w:rPr>
          <w:rFonts w:hint="eastAsia" w:hAnsi="宋体"/>
          <w:b/>
          <w:color w:val="000000" w:themeColor="text1"/>
        </w:rPr>
        <w:t>项目名称</w:t>
      </w:r>
      <w:r>
        <w:rPr>
          <w:rFonts w:hint="eastAsia" w:ascii="仿宋" w:hAnsi="仿宋" w:eastAsia="仿宋" w:cs="仿宋"/>
          <w:b/>
          <w:color w:val="000000" w:themeColor="text1"/>
          <w:u w:val="single"/>
        </w:rPr>
        <w:t xml:space="preserve"> 福建通服益凤物流园仓储建设工程项目</w:t>
      </w:r>
    </w:p>
    <w:p>
      <w:pPr>
        <w:tabs>
          <w:tab w:val="left" w:pos="6580"/>
          <w:tab w:val="left" w:pos="6780"/>
        </w:tabs>
        <w:spacing w:line="360" w:lineRule="auto"/>
        <w:ind w:firstLine="1606" w:firstLineChars="500"/>
        <w:rPr>
          <w:b/>
          <w:color w:val="000000" w:themeColor="text1"/>
        </w:rPr>
      </w:pPr>
    </w:p>
    <w:p>
      <w:pPr>
        <w:tabs>
          <w:tab w:val="left" w:pos="6580"/>
          <w:tab w:val="left" w:pos="6780"/>
        </w:tabs>
        <w:spacing w:line="360" w:lineRule="auto"/>
        <w:ind w:firstLine="1606" w:firstLineChars="500"/>
        <w:rPr>
          <w:rFonts w:hAnsi="宋体"/>
          <w:b/>
          <w:color w:val="000000" w:themeColor="text1"/>
        </w:rPr>
      </w:pPr>
      <w:r>
        <w:rPr>
          <w:rFonts w:hint="eastAsia" w:hAnsi="宋体"/>
          <w:b/>
          <w:color w:val="000000" w:themeColor="text1"/>
        </w:rPr>
        <w:t>申报单位</w:t>
      </w:r>
      <w:r>
        <w:rPr>
          <w:rFonts w:hint="eastAsia" w:hAnsi="宋体"/>
          <w:b/>
          <w:color w:val="000000" w:themeColor="text1"/>
          <w:u w:val="single"/>
        </w:rPr>
        <w:t xml:space="preserve">   福建省通信产业服务有限公司  </w:t>
      </w:r>
      <w:r>
        <w:rPr>
          <w:rFonts w:hint="eastAsia" w:hAnsi="宋体"/>
          <w:b/>
          <w:color w:val="000000" w:themeColor="text1"/>
        </w:rPr>
        <w:t>（盖章）</w:t>
      </w:r>
    </w:p>
    <w:p>
      <w:pPr>
        <w:tabs>
          <w:tab w:val="left" w:pos="6580"/>
          <w:tab w:val="left" w:pos="6780"/>
        </w:tabs>
        <w:spacing w:line="360" w:lineRule="auto"/>
        <w:ind w:firstLine="1606" w:firstLineChars="500"/>
        <w:rPr>
          <w:rFonts w:hAnsi="宋体"/>
          <w:b/>
          <w:color w:val="000000" w:themeColor="text1"/>
        </w:rPr>
      </w:pPr>
    </w:p>
    <w:p>
      <w:pPr>
        <w:tabs>
          <w:tab w:val="left" w:pos="6580"/>
          <w:tab w:val="left" w:pos="6780"/>
        </w:tabs>
        <w:spacing w:line="360" w:lineRule="auto"/>
        <w:ind w:firstLine="1606" w:firstLineChars="500"/>
        <w:rPr>
          <w:rFonts w:hint="default" w:eastAsia="仿宋_GB2312"/>
          <w:b/>
          <w:color w:val="000000" w:themeColor="text1"/>
          <w:u w:val="single"/>
          <w:lang w:val="en-US" w:eastAsia="zh-CN"/>
        </w:rPr>
      </w:pPr>
      <w:r>
        <w:rPr>
          <w:rFonts w:hint="eastAsia" w:hAnsi="宋体"/>
          <w:b/>
          <w:color w:val="000000" w:themeColor="text1"/>
        </w:rPr>
        <w:t>主管部门</w:t>
      </w:r>
      <w:r>
        <w:rPr>
          <w:rFonts w:hint="eastAsia" w:hAnsi="宋体"/>
          <w:b/>
          <w:color w:val="000000" w:themeColor="text1"/>
          <w:u w:val="single"/>
        </w:rPr>
        <w:t xml:space="preserve">       福州市城乡建设局  </w:t>
      </w:r>
      <w:r>
        <w:rPr>
          <w:rFonts w:hint="eastAsia" w:hAnsi="宋体"/>
          <w:b/>
          <w:color w:val="000000" w:themeColor="text1"/>
          <w:u w:val="single"/>
          <w:lang w:val="en-US" w:eastAsia="zh-CN"/>
        </w:rPr>
        <w:t xml:space="preserve">         </w:t>
      </w:r>
    </w:p>
    <w:p>
      <w:pPr>
        <w:tabs>
          <w:tab w:val="left" w:pos="6580"/>
          <w:tab w:val="left" w:pos="6780"/>
        </w:tabs>
        <w:spacing w:line="360" w:lineRule="auto"/>
        <w:ind w:firstLine="1606" w:firstLineChars="500"/>
        <w:rPr>
          <w:b/>
          <w:color w:val="000000" w:themeColor="text1"/>
        </w:rPr>
      </w:pPr>
    </w:p>
    <w:p>
      <w:pPr>
        <w:tabs>
          <w:tab w:val="left" w:pos="6580"/>
          <w:tab w:val="left" w:pos="6780"/>
        </w:tabs>
        <w:spacing w:line="360" w:lineRule="auto"/>
        <w:ind w:firstLine="1606" w:firstLineChars="500"/>
        <w:rPr>
          <w:rFonts w:eastAsia="Times New Roman"/>
          <w:bCs/>
          <w:color w:val="000000" w:themeColor="text1"/>
          <w:sz w:val="44"/>
        </w:rPr>
        <w:sectPr>
          <w:footerReference r:id="rId3" w:type="default"/>
          <w:footerReference r:id="rId4" w:type="even"/>
          <w:pgSz w:w="11906" w:h="16838"/>
          <w:pgMar w:top="1440" w:right="1080" w:bottom="1440" w:left="1080" w:header="851" w:footer="992" w:gutter="0"/>
          <w:pgNumType w:fmt="numberInDash" w:start="1"/>
          <w:cols w:space="720" w:num="1"/>
        </w:sectPr>
      </w:pPr>
      <w:r>
        <w:rPr>
          <w:rFonts w:hint="eastAsia" w:hAnsi="宋体"/>
          <w:b/>
          <w:color w:val="000000" w:themeColor="text1"/>
        </w:rPr>
        <w:t>申报时间</w:t>
      </w:r>
      <w:r>
        <w:rPr>
          <w:rFonts w:hint="eastAsia" w:hAnsi="宋体"/>
          <w:b/>
          <w:color w:val="000000" w:themeColor="text1"/>
          <w:u w:val="single"/>
        </w:rPr>
        <w:t xml:space="preserve">  </w:t>
      </w:r>
      <w:r>
        <w:rPr>
          <w:rFonts w:hint="eastAsia" w:ascii="仿宋" w:hAnsi="仿宋" w:eastAsia="仿宋" w:cs="仿宋"/>
          <w:b/>
          <w:color w:val="000000" w:themeColor="text1"/>
          <w:u w:val="single"/>
        </w:rPr>
        <w:t xml:space="preserve">2021 </w:t>
      </w:r>
      <w:r>
        <w:rPr>
          <w:rFonts w:hint="eastAsia" w:hAnsi="宋体"/>
          <w:b/>
          <w:color w:val="000000" w:themeColor="text1"/>
        </w:rPr>
        <w:t>年</w:t>
      </w:r>
      <w:r>
        <w:rPr>
          <w:rFonts w:hint="eastAsia" w:hAnsi="宋体"/>
          <w:b/>
          <w:color w:val="000000" w:themeColor="text1"/>
          <w:u w:val="single"/>
        </w:rPr>
        <w:t xml:space="preserve">  </w:t>
      </w:r>
      <w:r>
        <w:rPr>
          <w:rFonts w:hint="eastAsia" w:ascii="仿宋" w:hAnsi="仿宋" w:eastAsia="仿宋" w:cs="仿宋"/>
          <w:b/>
          <w:color w:val="000000" w:themeColor="text1"/>
          <w:u w:val="single"/>
          <w:lang w:val="en-US" w:eastAsia="zh-CN"/>
        </w:rPr>
        <w:t>08</w:t>
      </w:r>
      <w:r>
        <w:rPr>
          <w:rFonts w:hint="eastAsia" w:ascii="仿宋" w:hAnsi="仿宋" w:eastAsia="仿宋" w:cs="仿宋"/>
          <w:b/>
          <w:color w:val="000000" w:themeColor="text1"/>
          <w:u w:val="single"/>
        </w:rPr>
        <w:t xml:space="preserve">  </w:t>
      </w:r>
      <w:r>
        <w:rPr>
          <w:rFonts w:hint="eastAsia" w:hAnsi="宋体"/>
          <w:b/>
          <w:color w:val="000000" w:themeColor="text1"/>
        </w:rPr>
        <w:t>月</w:t>
      </w:r>
      <w:r>
        <w:rPr>
          <w:rFonts w:hint="eastAsia" w:hAnsi="宋体"/>
          <w:b/>
          <w:color w:val="000000" w:themeColor="text1"/>
          <w:u w:val="single"/>
        </w:rPr>
        <w:t xml:space="preserve">  </w:t>
      </w:r>
      <w:r>
        <w:rPr>
          <w:rFonts w:hint="eastAsia" w:ascii="仿宋" w:hAnsi="仿宋" w:eastAsia="仿宋" w:cs="仿宋"/>
          <w:b/>
          <w:color w:val="000000" w:themeColor="text1"/>
          <w:u w:val="single"/>
          <w:lang w:val="en-US" w:eastAsia="zh-CN"/>
        </w:rPr>
        <w:t>16</w:t>
      </w:r>
      <w:r>
        <w:rPr>
          <w:rFonts w:hint="eastAsia" w:hAnsi="宋体"/>
          <w:b/>
          <w:color w:val="000000" w:themeColor="text1"/>
          <w:u w:val="single"/>
        </w:rPr>
        <w:t xml:space="preserve">  </w:t>
      </w:r>
      <w:r>
        <w:rPr>
          <w:rFonts w:hint="eastAsia" w:hAnsi="宋体"/>
          <w:b/>
          <w:color w:val="000000" w:themeColor="text1"/>
        </w:rPr>
        <w:t>日</w:t>
      </w:r>
    </w:p>
    <w:p>
      <w:pPr>
        <w:spacing w:line="440" w:lineRule="atLeast"/>
        <w:rPr>
          <w:rFonts w:ascii="方正小标宋简体" w:eastAsia="方正小标宋简体"/>
          <w:bCs/>
          <w:color w:val="000000" w:themeColor="text1"/>
          <w:sz w:val="44"/>
        </w:rPr>
      </w:pPr>
      <w:r>
        <w:rPr>
          <w:rFonts w:hint="eastAsia" w:ascii="方正小标宋简体" w:hAnsi="黑体" w:eastAsia="方正小标宋简体"/>
          <w:bCs/>
          <w:color w:val="000000" w:themeColor="text1"/>
          <w:sz w:val="44"/>
        </w:rPr>
        <w:t>填写说明</w:t>
      </w:r>
    </w:p>
    <w:p>
      <w:pPr>
        <w:spacing w:line="440" w:lineRule="atLeast"/>
        <w:jc w:val="center"/>
        <w:rPr>
          <w:rFonts w:eastAsia="黑体"/>
          <w:bCs/>
          <w:color w:val="000000" w:themeColor="text1"/>
          <w:sz w:val="44"/>
        </w:rPr>
      </w:pPr>
    </w:p>
    <w:p>
      <w:pPr>
        <w:spacing w:line="360" w:lineRule="auto"/>
        <w:ind w:firstLine="640" w:firstLineChars="200"/>
        <w:rPr>
          <w:color w:val="000000" w:themeColor="text1"/>
          <w:szCs w:val="32"/>
        </w:rPr>
      </w:pPr>
      <w:r>
        <w:rPr>
          <w:color w:val="000000" w:themeColor="text1"/>
          <w:szCs w:val="32"/>
        </w:rPr>
        <w:t>1</w:t>
      </w:r>
      <w:r>
        <w:rPr>
          <w:rFonts w:hint="eastAsia" w:hAnsi="仿宋_GB2312"/>
          <w:color w:val="000000" w:themeColor="text1"/>
          <w:szCs w:val="32"/>
        </w:rPr>
        <w:t>．申报表一律采用小四号仿宋字体填写，以</w:t>
      </w:r>
      <w:r>
        <w:rPr>
          <w:color w:val="000000" w:themeColor="text1"/>
          <w:szCs w:val="32"/>
        </w:rPr>
        <w:t>A4</w:t>
      </w:r>
      <w:r>
        <w:rPr>
          <w:rFonts w:hint="eastAsia" w:hAnsi="仿宋_GB2312"/>
          <w:color w:val="000000" w:themeColor="text1"/>
          <w:szCs w:val="32"/>
        </w:rPr>
        <w:t>纸打印，一式四份。</w:t>
      </w:r>
    </w:p>
    <w:p>
      <w:pPr>
        <w:spacing w:line="360" w:lineRule="auto"/>
        <w:ind w:firstLine="640" w:firstLineChars="200"/>
        <w:rPr>
          <w:color w:val="000000" w:themeColor="text1"/>
          <w:szCs w:val="32"/>
        </w:rPr>
      </w:pPr>
      <w:r>
        <w:rPr>
          <w:color w:val="000000" w:themeColor="text1"/>
          <w:szCs w:val="32"/>
        </w:rPr>
        <w:t>2</w:t>
      </w:r>
      <w:r>
        <w:rPr>
          <w:rFonts w:hint="eastAsia" w:hAnsi="仿宋_GB2312"/>
          <w:color w:val="000000" w:themeColor="text1"/>
          <w:szCs w:val="32"/>
        </w:rPr>
        <w:t>．申报表封面的</w:t>
      </w:r>
      <w:r>
        <w:rPr>
          <w:color w:val="000000" w:themeColor="text1"/>
          <w:szCs w:val="32"/>
        </w:rPr>
        <w:t>“</w:t>
      </w:r>
      <w:r>
        <w:rPr>
          <w:rFonts w:hint="eastAsia" w:hAnsi="仿宋_GB2312"/>
          <w:color w:val="000000" w:themeColor="text1"/>
          <w:szCs w:val="32"/>
        </w:rPr>
        <w:t>项目名称</w:t>
      </w:r>
      <w:r>
        <w:rPr>
          <w:color w:val="000000" w:themeColor="text1"/>
          <w:szCs w:val="32"/>
        </w:rPr>
        <w:t>”</w:t>
      </w:r>
      <w:r>
        <w:rPr>
          <w:rFonts w:hint="eastAsia" w:hAnsi="仿宋_GB2312"/>
          <w:color w:val="000000" w:themeColor="text1"/>
          <w:szCs w:val="32"/>
        </w:rPr>
        <w:t>与施工许可证的</w:t>
      </w:r>
      <w:r>
        <w:rPr>
          <w:color w:val="000000" w:themeColor="text1"/>
          <w:szCs w:val="32"/>
        </w:rPr>
        <w:t>“</w:t>
      </w:r>
      <w:r>
        <w:rPr>
          <w:rFonts w:hint="eastAsia" w:hAnsi="仿宋_GB2312"/>
          <w:color w:val="000000" w:themeColor="text1"/>
          <w:szCs w:val="32"/>
        </w:rPr>
        <w:t>工程名称</w:t>
      </w:r>
      <w:r>
        <w:rPr>
          <w:color w:val="000000" w:themeColor="text1"/>
          <w:szCs w:val="32"/>
        </w:rPr>
        <w:t>”</w:t>
      </w:r>
      <w:r>
        <w:rPr>
          <w:rFonts w:hint="eastAsia" w:hAnsi="仿宋_GB2312"/>
          <w:color w:val="000000" w:themeColor="text1"/>
          <w:szCs w:val="32"/>
        </w:rPr>
        <w:t>应一致。</w:t>
      </w:r>
    </w:p>
    <w:p>
      <w:pPr>
        <w:spacing w:line="360" w:lineRule="auto"/>
        <w:ind w:firstLine="640" w:firstLineChars="200"/>
        <w:rPr>
          <w:color w:val="000000" w:themeColor="text1"/>
          <w:szCs w:val="32"/>
        </w:rPr>
      </w:pPr>
      <w:r>
        <w:rPr>
          <w:color w:val="000000" w:themeColor="text1"/>
          <w:szCs w:val="32"/>
        </w:rPr>
        <w:t>3</w:t>
      </w:r>
      <w:r>
        <w:rPr>
          <w:rFonts w:hint="eastAsia"/>
          <w:color w:val="000000" w:themeColor="text1"/>
          <w:szCs w:val="32"/>
        </w:rPr>
        <w:t>．</w:t>
      </w:r>
      <w:r>
        <w:rPr>
          <w:rFonts w:hint="eastAsia" w:hAnsi="仿宋_GB2312"/>
          <w:color w:val="000000" w:themeColor="text1"/>
          <w:szCs w:val="32"/>
        </w:rPr>
        <w:t>项目涉及的设计、施工、监理、部品部件生产单位暂未确定的填写</w:t>
      </w:r>
      <w:r>
        <w:rPr>
          <w:color w:val="000000" w:themeColor="text1"/>
          <w:szCs w:val="32"/>
        </w:rPr>
        <w:t>“</w:t>
      </w:r>
      <w:r>
        <w:rPr>
          <w:rFonts w:hint="eastAsia" w:hAnsi="仿宋_GB2312"/>
          <w:color w:val="000000" w:themeColor="text1"/>
          <w:szCs w:val="32"/>
        </w:rPr>
        <w:t>未确定</w:t>
      </w:r>
      <w:r>
        <w:rPr>
          <w:color w:val="000000" w:themeColor="text1"/>
          <w:szCs w:val="32"/>
        </w:rPr>
        <w:t>”</w:t>
      </w:r>
      <w:r>
        <w:rPr>
          <w:rFonts w:hint="eastAsia" w:hAnsi="仿宋_GB2312"/>
          <w:color w:val="000000" w:themeColor="text1"/>
          <w:szCs w:val="32"/>
        </w:rPr>
        <w:t>。</w:t>
      </w:r>
    </w:p>
    <w:p>
      <w:pPr>
        <w:spacing w:line="360" w:lineRule="auto"/>
        <w:ind w:firstLine="640" w:firstLineChars="200"/>
        <w:rPr>
          <w:color w:val="000000" w:themeColor="text1"/>
          <w:szCs w:val="32"/>
        </w:rPr>
      </w:pPr>
    </w:p>
    <w:p>
      <w:pPr>
        <w:spacing w:line="360" w:lineRule="auto"/>
        <w:ind w:firstLine="640" w:firstLineChars="200"/>
        <w:rPr>
          <w:color w:val="000000" w:themeColor="text1"/>
          <w:szCs w:val="32"/>
        </w:rPr>
      </w:pPr>
    </w:p>
    <w:p>
      <w:pPr>
        <w:spacing w:line="360" w:lineRule="auto"/>
        <w:ind w:firstLine="640" w:firstLineChars="200"/>
        <w:rPr>
          <w:color w:val="000000" w:themeColor="text1"/>
          <w:szCs w:val="32"/>
        </w:rPr>
      </w:pPr>
    </w:p>
    <w:p>
      <w:pPr>
        <w:spacing w:line="240" w:lineRule="atLeast"/>
        <w:rPr>
          <w:color w:val="000000" w:themeColor="text1"/>
          <w:sz w:val="30"/>
        </w:rPr>
      </w:pPr>
    </w:p>
    <w:p>
      <w:pPr>
        <w:spacing w:line="240" w:lineRule="atLeast"/>
        <w:rPr>
          <w:color w:val="000000" w:themeColor="text1"/>
          <w:sz w:val="30"/>
        </w:rPr>
      </w:pPr>
    </w:p>
    <w:p>
      <w:pPr>
        <w:spacing w:line="240" w:lineRule="atLeast"/>
        <w:rPr>
          <w:color w:val="000000" w:themeColor="text1"/>
          <w:sz w:val="30"/>
        </w:rPr>
      </w:pPr>
    </w:p>
    <w:p>
      <w:pPr>
        <w:spacing w:line="240" w:lineRule="atLeast"/>
        <w:rPr>
          <w:color w:val="000000" w:themeColor="text1"/>
          <w:sz w:val="30"/>
        </w:rPr>
      </w:pPr>
    </w:p>
    <w:p>
      <w:pPr>
        <w:spacing w:line="240" w:lineRule="atLeast"/>
        <w:rPr>
          <w:color w:val="000000" w:themeColor="text1"/>
          <w:sz w:val="30"/>
        </w:rPr>
      </w:pPr>
    </w:p>
    <w:p>
      <w:pPr>
        <w:spacing w:line="240" w:lineRule="atLeast"/>
        <w:rPr>
          <w:color w:val="000000" w:themeColor="text1"/>
          <w:sz w:val="30"/>
        </w:rPr>
      </w:pPr>
    </w:p>
    <w:p>
      <w:pPr>
        <w:spacing w:line="240" w:lineRule="atLeast"/>
        <w:rPr>
          <w:color w:val="000000" w:themeColor="text1"/>
          <w:sz w:val="30"/>
        </w:rPr>
      </w:pPr>
      <w:r>
        <w:rPr>
          <w:color w:val="000000" w:themeColor="text1"/>
          <w:sz w:val="30"/>
        </w:rPr>
        <w:br w:type="page"/>
      </w:r>
    </w:p>
    <w:tbl>
      <w:tblPr>
        <w:tblStyle w:val="4"/>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9"/>
        <w:gridCol w:w="1328"/>
        <w:gridCol w:w="270"/>
        <w:gridCol w:w="634"/>
        <w:gridCol w:w="247"/>
        <w:gridCol w:w="656"/>
        <w:gridCol w:w="904"/>
        <w:gridCol w:w="904"/>
        <w:gridCol w:w="903"/>
        <w:gridCol w:w="904"/>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900" w:type="dxa"/>
            <w:gridSpan w:val="12"/>
            <w:tcBorders>
              <w:top w:val="single" w:color="auto" w:sz="4" w:space="0"/>
              <w:left w:val="single" w:color="auto" w:sz="4" w:space="0"/>
              <w:bottom w:val="single" w:color="auto" w:sz="4" w:space="0"/>
              <w:right w:val="single" w:color="auto" w:sz="4" w:space="0"/>
            </w:tcBorders>
            <w:vAlign w:val="center"/>
          </w:tcPr>
          <w:p>
            <w:pPr>
              <w:spacing w:line="360" w:lineRule="exact"/>
              <w:rPr>
                <w:rFonts w:ascii="黑体" w:hAnsi="黑体" w:eastAsia="黑体"/>
                <w:color w:val="000000" w:themeColor="text1"/>
                <w:sz w:val="30"/>
              </w:rPr>
            </w:pPr>
            <w:r>
              <w:rPr>
                <w:rFonts w:hint="eastAsia" w:ascii="黑体" w:hAnsi="黑体" w:eastAsia="黑体"/>
                <w:bCs/>
                <w:color w:val="000000" w:themeColor="text1"/>
                <w:sz w:val="30"/>
                <w:szCs w:val="30"/>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30"/>
              </w:rPr>
            </w:pPr>
            <w:r>
              <w:rPr>
                <w:rFonts w:hint="eastAsia"/>
                <w:color w:val="000000" w:themeColor="text1"/>
                <w:sz w:val="24"/>
              </w:rPr>
              <w:t>建筑类型</w:t>
            </w:r>
          </w:p>
        </w:tc>
        <w:tc>
          <w:tcPr>
            <w:tcW w:w="7664" w:type="dxa"/>
            <w:gridSpan w:val="10"/>
            <w:tcBorders>
              <w:top w:val="single" w:color="auto" w:sz="4" w:space="0"/>
              <w:left w:val="single" w:color="auto" w:sz="4" w:space="0"/>
              <w:bottom w:val="single" w:color="auto" w:sz="4" w:space="0"/>
              <w:right w:val="single" w:color="auto" w:sz="4" w:space="0"/>
            </w:tcBorders>
            <w:vAlign w:val="center"/>
          </w:tcPr>
          <w:p>
            <w:pPr>
              <w:spacing w:line="360" w:lineRule="exact"/>
              <w:rPr>
                <w:color w:val="000000" w:themeColor="text1"/>
                <w:sz w:val="30"/>
              </w:rPr>
            </w:pPr>
            <w:r>
              <w:rPr>
                <w:rFonts w:hint="eastAsia" w:ascii="MS Mincho" w:hAnsi="MS Mincho" w:eastAsia="宋体" w:cs="MS Mincho"/>
                <w:color w:val="000000" w:themeColor="text1"/>
                <w:sz w:val="24"/>
              </w:rPr>
              <w:t>□</w:t>
            </w:r>
            <w:r>
              <w:rPr>
                <w:rFonts w:hint="eastAsia"/>
                <w:color w:val="000000" w:themeColor="text1"/>
                <w:sz w:val="24"/>
              </w:rPr>
              <w:t>居住建筑</w:t>
            </w:r>
            <w:r>
              <w:rPr>
                <w:rFonts w:hint="eastAsia" w:ascii="MS Mincho" w:hAnsi="MS Mincho" w:eastAsia="MS Mincho" w:cs="MS Mincho"/>
                <w:color w:val="000000" w:themeColor="text1"/>
                <w:sz w:val="24"/>
              </w:rPr>
              <w:t>☑</w:t>
            </w:r>
            <w:r>
              <w:rPr>
                <w:rFonts w:hint="eastAsia"/>
                <w:color w:val="000000" w:themeColor="text1"/>
                <w:sz w:val="24"/>
              </w:rPr>
              <w:t>公共建筑</w:t>
            </w:r>
            <w:r>
              <w:rPr>
                <w:rFonts w:hint="eastAsia" w:ascii="仿宋_GB2312"/>
                <w:color w:val="000000" w:themeColor="text1"/>
                <w:sz w:val="24"/>
              </w:rPr>
              <w:t>□</w:t>
            </w:r>
            <w:r>
              <w:rPr>
                <w:rFonts w:hint="eastAsia"/>
                <w:color w:val="000000" w:themeColor="text1"/>
                <w:sz w:val="24"/>
              </w:rPr>
              <w:t>其他（选项打</w:t>
            </w:r>
            <w:r>
              <w:rPr>
                <w:rFonts w:hint="eastAsia" w:ascii="MS Mincho" w:hAnsi="MS Mincho" w:eastAsia="MS Mincho" w:cs="MS Mincho"/>
                <w:color w:val="000000" w:themeColor="text1"/>
                <w:sz w:val="24"/>
              </w:rPr>
              <w:t>☑</w:t>
            </w:r>
            <w:r>
              <w:rPr>
                <w:rFonts w:hint="eastAsia"/>
                <w:color w:val="000000" w:themeColor="text1"/>
                <w:sz w:val="24"/>
              </w:rPr>
              <w:t>，下同）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申请评价阶段</w:t>
            </w:r>
          </w:p>
        </w:tc>
        <w:tc>
          <w:tcPr>
            <w:tcW w:w="7664" w:type="dxa"/>
            <w:gridSpan w:val="10"/>
            <w:tcBorders>
              <w:top w:val="single" w:color="auto" w:sz="4" w:space="0"/>
              <w:left w:val="single" w:color="auto" w:sz="4" w:space="0"/>
              <w:bottom w:val="single" w:color="auto" w:sz="4" w:space="0"/>
              <w:right w:val="single" w:color="auto" w:sz="4" w:space="0"/>
            </w:tcBorders>
            <w:vAlign w:val="center"/>
          </w:tcPr>
          <w:p>
            <w:pPr>
              <w:spacing w:line="360" w:lineRule="exact"/>
              <w:rPr>
                <w:color w:val="000000" w:themeColor="text1"/>
                <w:sz w:val="30"/>
              </w:rPr>
            </w:pPr>
            <w:r>
              <w:rPr>
                <w:rFonts w:hint="eastAsia" w:ascii="MS Mincho" w:hAnsi="MS Mincho" w:eastAsia="MS Mincho" w:cs="MS Mincho"/>
                <w:color w:val="000000" w:themeColor="text1"/>
                <w:sz w:val="24"/>
              </w:rPr>
              <w:t>☑</w:t>
            </w:r>
            <w:r>
              <w:rPr>
                <w:rFonts w:hint="eastAsia"/>
                <w:color w:val="000000" w:themeColor="text1"/>
                <w:sz w:val="24"/>
              </w:rPr>
              <w:t>设计阶段预评价</w:t>
            </w:r>
            <w:r>
              <w:rPr>
                <w:rFonts w:hint="eastAsia" w:ascii="仿宋_GB2312"/>
                <w:color w:val="000000" w:themeColor="text1"/>
                <w:sz w:val="24"/>
              </w:rPr>
              <w:t>□</w:t>
            </w:r>
            <w:r>
              <w:rPr>
                <w:rFonts w:hint="eastAsia"/>
                <w:color w:val="000000" w:themeColor="text1"/>
                <w:sz w:val="24"/>
              </w:rPr>
              <w:t>施工阶段评价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项目名称</w:t>
            </w:r>
          </w:p>
        </w:tc>
        <w:tc>
          <w:tcPr>
            <w:tcW w:w="7664" w:type="dxa"/>
            <w:gridSpan w:val="10"/>
            <w:tcBorders>
              <w:top w:val="single" w:color="auto" w:sz="4" w:space="0"/>
              <w:left w:val="single" w:color="auto" w:sz="4" w:space="0"/>
              <w:bottom w:val="single" w:color="auto" w:sz="4" w:space="0"/>
              <w:right w:val="single" w:color="auto" w:sz="4" w:space="0"/>
            </w:tcBorders>
            <w:vAlign w:val="center"/>
          </w:tcPr>
          <w:p>
            <w:pPr>
              <w:spacing w:line="360" w:lineRule="exact"/>
              <w:rPr>
                <w:color w:val="000000" w:themeColor="text1"/>
                <w:sz w:val="24"/>
              </w:rPr>
            </w:pPr>
            <w:r>
              <w:rPr>
                <w:rFonts w:hint="eastAsia"/>
                <w:color w:val="000000" w:themeColor="text1"/>
                <w:sz w:val="24"/>
              </w:rPr>
              <w:t>福建通服益凤物流园仓储建设工程项目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项目所在地</w:t>
            </w:r>
          </w:p>
        </w:tc>
        <w:tc>
          <w:tcPr>
            <w:tcW w:w="7664" w:type="dxa"/>
            <w:gridSpan w:val="10"/>
            <w:tcBorders>
              <w:top w:val="single" w:color="auto" w:sz="4" w:space="0"/>
              <w:left w:val="single" w:color="auto" w:sz="4" w:space="0"/>
              <w:bottom w:val="single" w:color="auto" w:sz="4" w:space="0"/>
              <w:right w:val="single" w:color="auto" w:sz="4" w:space="0"/>
            </w:tcBorders>
            <w:vAlign w:val="center"/>
          </w:tcPr>
          <w:p>
            <w:pPr>
              <w:spacing w:line="360" w:lineRule="exact"/>
              <w:rPr>
                <w:color w:val="000000" w:themeColor="text1"/>
                <w:sz w:val="24"/>
              </w:rPr>
            </w:pPr>
            <w:r>
              <w:rPr>
                <w:rFonts w:hint="eastAsia"/>
                <w:color w:val="000000" w:themeColor="text1"/>
                <w:sz w:val="24"/>
              </w:rPr>
              <w:t>福建省福州市晋安区新店镇合福铁路以北，三环辅道以西，益凤地块四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17" w:type="dxa"/>
            <w:vMerge w:val="restart"/>
            <w:tcBorders>
              <w:top w:val="single" w:color="auto" w:sz="4" w:space="0"/>
              <w:left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实施装配式建造情况</w:t>
            </w:r>
          </w:p>
        </w:tc>
        <w:tc>
          <w:tcPr>
            <w:tcW w:w="14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装配式建筑</w:t>
            </w:r>
          </w:p>
          <w:p>
            <w:pPr>
              <w:spacing w:line="240" w:lineRule="exact"/>
              <w:jc w:val="center"/>
              <w:rPr>
                <w:color w:val="000000" w:themeColor="text1"/>
                <w:sz w:val="24"/>
                <w:szCs w:val="24"/>
              </w:rPr>
            </w:pPr>
            <w:r>
              <w:rPr>
                <w:rFonts w:hint="eastAsia"/>
                <w:color w:val="000000" w:themeColor="text1"/>
                <w:sz w:val="24"/>
                <w:szCs w:val="24"/>
              </w:rPr>
              <w:t>栋号</w:t>
            </w:r>
          </w:p>
        </w:tc>
        <w:tc>
          <w:tcPr>
            <w:tcW w:w="132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结构类型</w:t>
            </w:r>
          </w:p>
        </w:tc>
        <w:tc>
          <w:tcPr>
            <w:tcW w:w="90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建筑</w:t>
            </w:r>
          </w:p>
          <w:p>
            <w:pPr>
              <w:spacing w:line="240" w:lineRule="exact"/>
              <w:jc w:val="center"/>
              <w:rPr>
                <w:color w:val="000000" w:themeColor="text1"/>
                <w:sz w:val="24"/>
                <w:szCs w:val="24"/>
              </w:rPr>
            </w:pPr>
            <w:r>
              <w:rPr>
                <w:rFonts w:hint="eastAsia"/>
                <w:color w:val="000000" w:themeColor="text1"/>
                <w:sz w:val="24"/>
                <w:szCs w:val="24"/>
              </w:rPr>
              <w:t>面积</w:t>
            </w:r>
          </w:p>
          <w:p>
            <w:pPr>
              <w:spacing w:line="240" w:lineRule="exact"/>
              <w:jc w:val="center"/>
              <w:rPr>
                <w:color w:val="000000" w:themeColor="text1"/>
                <w:sz w:val="24"/>
                <w:szCs w:val="24"/>
              </w:rPr>
            </w:pPr>
            <w:r>
              <w:rPr>
                <w:rFonts w:hint="eastAsia"/>
                <w:color w:val="000000" w:themeColor="text1"/>
                <w:sz w:val="24"/>
                <w:szCs w:val="24"/>
              </w:rPr>
              <w:t>（</w:t>
            </w:r>
            <w:r>
              <w:rPr>
                <w:color w:val="000000" w:themeColor="text1"/>
                <w:sz w:val="24"/>
                <w:szCs w:val="24"/>
              </w:rPr>
              <w:t>m</w:t>
            </w:r>
            <w:r>
              <w:rPr>
                <w:color w:val="000000" w:themeColor="text1"/>
                <w:sz w:val="24"/>
                <w:szCs w:val="24"/>
                <w:vertAlign w:val="superscript"/>
              </w:rPr>
              <w:t>2</w:t>
            </w:r>
            <w:r>
              <w:rPr>
                <w:rFonts w:hint="eastAsia"/>
                <w:color w:val="000000" w:themeColor="text1"/>
                <w:sz w:val="24"/>
                <w:szCs w:val="24"/>
              </w:rPr>
              <w:t>）</w:t>
            </w:r>
          </w:p>
        </w:tc>
        <w:tc>
          <w:tcPr>
            <w:tcW w:w="90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主体</w:t>
            </w:r>
          </w:p>
          <w:p>
            <w:pPr>
              <w:spacing w:line="240" w:lineRule="exact"/>
              <w:jc w:val="center"/>
              <w:rPr>
                <w:color w:val="000000" w:themeColor="text1"/>
                <w:sz w:val="24"/>
                <w:szCs w:val="24"/>
              </w:rPr>
            </w:pPr>
            <w:r>
              <w:rPr>
                <w:rFonts w:hint="eastAsia"/>
                <w:color w:val="000000" w:themeColor="text1"/>
                <w:sz w:val="24"/>
                <w:szCs w:val="24"/>
              </w:rPr>
              <w:t>结构</w:t>
            </w:r>
            <w:r>
              <w:rPr>
                <w:color w:val="000000" w:themeColor="text1"/>
                <w:sz w:val="24"/>
                <w:szCs w:val="24"/>
              </w:rPr>
              <w:t>Q</w:t>
            </w:r>
            <w:r>
              <w:rPr>
                <w:color w:val="000000" w:themeColor="text1"/>
                <w:sz w:val="24"/>
                <w:szCs w:val="24"/>
                <w:vertAlign w:val="subscript"/>
              </w:rPr>
              <w:t>1</w:t>
            </w:r>
            <w:r>
              <w:rPr>
                <w:rFonts w:hint="eastAsia"/>
                <w:color w:val="000000" w:themeColor="text1"/>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vertAlign w:val="subscript"/>
              </w:rPr>
            </w:pPr>
            <w:r>
              <w:rPr>
                <w:rFonts w:hint="eastAsia"/>
                <w:color w:val="000000" w:themeColor="text1"/>
                <w:sz w:val="24"/>
                <w:szCs w:val="24"/>
              </w:rPr>
              <w:t>围护墙和内隔墙</w:t>
            </w:r>
            <w:r>
              <w:rPr>
                <w:color w:val="000000" w:themeColor="text1"/>
                <w:sz w:val="24"/>
                <w:szCs w:val="24"/>
              </w:rPr>
              <w:t>Q</w:t>
            </w:r>
            <w:r>
              <w:rPr>
                <w:color w:val="000000" w:themeColor="text1"/>
                <w:sz w:val="24"/>
                <w:szCs w:val="24"/>
                <w:vertAlign w:val="subscript"/>
              </w:rPr>
              <w:t>2</w:t>
            </w:r>
          </w:p>
          <w:p>
            <w:pPr>
              <w:spacing w:line="240" w:lineRule="exact"/>
              <w:jc w:val="center"/>
              <w:rPr>
                <w:color w:val="000000" w:themeColor="text1"/>
                <w:sz w:val="24"/>
                <w:szCs w:val="24"/>
              </w:rPr>
            </w:pPr>
            <w:r>
              <w:rPr>
                <w:rFonts w:hint="eastAsia"/>
                <w:color w:val="000000" w:themeColor="text1"/>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vertAlign w:val="subscript"/>
              </w:rPr>
            </w:pPr>
            <w:r>
              <w:rPr>
                <w:rFonts w:hint="eastAsia"/>
                <w:color w:val="000000" w:themeColor="text1"/>
                <w:sz w:val="24"/>
                <w:szCs w:val="24"/>
              </w:rPr>
              <w:t>装修与设备管线</w:t>
            </w:r>
            <w:r>
              <w:rPr>
                <w:color w:val="000000" w:themeColor="text1"/>
                <w:sz w:val="24"/>
                <w:szCs w:val="24"/>
              </w:rPr>
              <w:t>Q</w:t>
            </w:r>
            <w:r>
              <w:rPr>
                <w:color w:val="000000" w:themeColor="text1"/>
                <w:sz w:val="24"/>
                <w:szCs w:val="24"/>
                <w:vertAlign w:val="subscript"/>
              </w:rPr>
              <w:t>3</w:t>
            </w:r>
          </w:p>
          <w:p>
            <w:pPr>
              <w:spacing w:line="240" w:lineRule="exact"/>
              <w:jc w:val="center"/>
              <w:rPr>
                <w:color w:val="000000" w:themeColor="text1"/>
                <w:sz w:val="24"/>
                <w:szCs w:val="24"/>
              </w:rPr>
            </w:pPr>
            <w:r>
              <w:rPr>
                <w:rFonts w:hint="eastAsia"/>
                <w:color w:val="000000" w:themeColor="text1"/>
                <w:sz w:val="24"/>
                <w:szCs w:val="24"/>
              </w:rPr>
              <w:t>得分</w:t>
            </w:r>
          </w:p>
        </w:tc>
        <w:tc>
          <w:tcPr>
            <w:tcW w:w="90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技术</w:t>
            </w:r>
          </w:p>
          <w:p>
            <w:pPr>
              <w:spacing w:line="240" w:lineRule="exact"/>
              <w:jc w:val="center"/>
              <w:rPr>
                <w:color w:val="000000" w:themeColor="text1"/>
                <w:sz w:val="24"/>
                <w:szCs w:val="24"/>
              </w:rPr>
            </w:pPr>
            <w:r>
              <w:rPr>
                <w:rFonts w:hint="eastAsia"/>
                <w:color w:val="000000" w:themeColor="text1"/>
                <w:sz w:val="24"/>
                <w:szCs w:val="24"/>
              </w:rPr>
              <w:t>创新</w:t>
            </w:r>
            <w:r>
              <w:rPr>
                <w:color w:val="000000" w:themeColor="text1"/>
                <w:sz w:val="24"/>
                <w:szCs w:val="24"/>
              </w:rPr>
              <w:t>Q</w:t>
            </w:r>
            <w:r>
              <w:rPr>
                <w:color w:val="000000" w:themeColor="text1"/>
                <w:sz w:val="24"/>
                <w:szCs w:val="24"/>
                <w:vertAlign w:val="subscript"/>
              </w:rPr>
              <w:t>4</w:t>
            </w:r>
            <w:r>
              <w:rPr>
                <w:rFonts w:hint="eastAsia"/>
                <w:color w:val="000000" w:themeColor="text1"/>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单体</w:t>
            </w:r>
          </w:p>
          <w:p>
            <w:pPr>
              <w:spacing w:line="240" w:lineRule="exact"/>
              <w:jc w:val="center"/>
              <w:rPr>
                <w:color w:val="000000" w:themeColor="text1"/>
                <w:sz w:val="24"/>
                <w:szCs w:val="24"/>
              </w:rPr>
            </w:pPr>
            <w:r>
              <w:rPr>
                <w:rFonts w:hint="eastAsia"/>
                <w:color w:val="000000" w:themeColor="text1"/>
                <w:sz w:val="24"/>
                <w:szCs w:val="24"/>
              </w:rPr>
              <w:t>建筑</w:t>
            </w:r>
          </w:p>
          <w:p>
            <w:pPr>
              <w:spacing w:line="240" w:lineRule="exact"/>
              <w:jc w:val="center"/>
              <w:rPr>
                <w:color w:val="000000" w:themeColor="text1"/>
                <w:sz w:val="24"/>
                <w:szCs w:val="24"/>
              </w:rPr>
            </w:pPr>
            <w:r>
              <w:rPr>
                <w:rFonts w:hint="eastAsia"/>
                <w:color w:val="000000" w:themeColor="text1"/>
                <w:sz w:val="24"/>
                <w:szCs w:val="24"/>
              </w:rPr>
              <w:t>装配率（</w:t>
            </w:r>
            <w:r>
              <w:rPr>
                <w:color w:val="000000" w:themeColor="text1"/>
                <w:sz w:val="24"/>
                <w:szCs w:val="24"/>
              </w:rPr>
              <w:t>%</w:t>
            </w:r>
            <w:r>
              <w:rPr>
                <w:rFonts w:hint="eastAsia"/>
                <w:color w:val="000000" w:themeColor="text1"/>
                <w:sz w:val="24"/>
                <w:szCs w:val="24"/>
              </w:rPr>
              <w:t>）</w:t>
            </w:r>
          </w:p>
        </w:tc>
        <w:tc>
          <w:tcPr>
            <w:tcW w:w="91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r>
              <w:rPr>
                <w:rFonts w:hint="eastAsia"/>
                <w:color w:val="000000" w:themeColor="text1"/>
                <w:sz w:val="24"/>
                <w:szCs w:val="24"/>
              </w:rPr>
              <w:t>评价</w:t>
            </w:r>
          </w:p>
          <w:p>
            <w:pPr>
              <w:spacing w:line="240" w:lineRule="exact"/>
              <w:jc w:val="center"/>
              <w:rPr>
                <w:color w:val="000000" w:themeColor="text1"/>
                <w:sz w:val="24"/>
                <w:szCs w:val="24"/>
              </w:rPr>
            </w:pPr>
            <w:r>
              <w:rPr>
                <w:rFonts w:hint="eastAsia"/>
                <w:color w:val="000000" w:themeColor="text1"/>
                <w:sz w:val="24"/>
                <w:szCs w:val="24"/>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0" w:hRule="atLeast"/>
          <w:jc w:val="center"/>
        </w:trPr>
        <w:tc>
          <w:tcPr>
            <w:tcW w:w="817" w:type="dxa"/>
            <w:vMerge w:val="continue"/>
            <w:tcBorders>
              <w:left w:val="single" w:color="auto" w:sz="4" w:space="0"/>
              <w:right w:val="single" w:color="auto" w:sz="4" w:space="0"/>
            </w:tcBorders>
            <w:vAlign w:val="center"/>
          </w:tcPr>
          <w:p>
            <w:pPr>
              <w:widowControl/>
              <w:jc w:val="left"/>
              <w:rPr>
                <w:color w:val="000000" w:themeColor="text1"/>
                <w:sz w:val="24"/>
              </w:rPr>
            </w:pPr>
          </w:p>
        </w:tc>
        <w:tc>
          <w:tcPr>
            <w:tcW w:w="1419"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r>
              <w:rPr>
                <w:rFonts w:hint="eastAsia" w:ascii="仿宋_GB2312"/>
                <w:color w:val="000000" w:themeColor="text1"/>
                <w:sz w:val="24"/>
                <w:szCs w:val="24"/>
              </w:rPr>
              <w:t>1#物流配送中心</w:t>
            </w:r>
          </w:p>
        </w:tc>
        <w:tc>
          <w:tcPr>
            <w:tcW w:w="1328" w:type="dxa"/>
            <w:tcBorders>
              <w:top w:val="single" w:color="auto" w:sz="4" w:space="0"/>
              <w:left w:val="single" w:color="auto" w:sz="4" w:space="0"/>
              <w:right w:val="single" w:color="auto" w:sz="4" w:space="0"/>
            </w:tcBorders>
            <w:vAlign w:val="center"/>
          </w:tcPr>
          <w:p>
            <w:pPr>
              <w:spacing w:line="240" w:lineRule="exact"/>
              <w:rPr>
                <w:rFonts w:ascii="仿宋_GB2312" w:hAnsi="仿宋_GB2312" w:cs="仿宋_GB2312"/>
                <w:color w:val="000000" w:themeColor="text1"/>
                <w:sz w:val="24"/>
                <w:szCs w:val="24"/>
              </w:rPr>
            </w:pPr>
            <w:r>
              <w:rPr>
                <w:rFonts w:hint="eastAsia" w:ascii="MS Mincho" w:hAnsi="MS Mincho" w:eastAsia="MS Mincho" w:cs="MS Mincho"/>
                <w:color w:val="000000" w:themeColor="text1"/>
                <w:sz w:val="24"/>
              </w:rPr>
              <w:t>☑</w:t>
            </w:r>
            <w:r>
              <w:rPr>
                <w:rFonts w:hint="eastAsia" w:ascii="仿宋_GB2312" w:hAnsi="仿宋_GB2312" w:cs="仿宋_GB2312"/>
                <w:color w:val="000000" w:themeColor="text1"/>
                <w:sz w:val="24"/>
                <w:szCs w:val="24"/>
              </w:rPr>
              <w:t>装配式混凝土建筑</w:t>
            </w:r>
          </w:p>
          <w:p>
            <w:pPr>
              <w:spacing w:line="240" w:lineRule="exact"/>
              <w:rPr>
                <w:rFonts w:ascii="仿宋_GB2312" w:hAnsi="仿宋_GB2312" w:cs="仿宋_GB2312"/>
                <w:color w:val="000000" w:themeColor="text1"/>
                <w:sz w:val="24"/>
                <w:szCs w:val="24"/>
              </w:rPr>
            </w:pPr>
          </w:p>
          <w:p>
            <w:pPr>
              <w:spacing w:line="240" w:lineRule="exact"/>
              <w:rPr>
                <w:rFonts w:ascii="仿宋_GB2312" w:hAnsi="仿宋_GB2312" w:cs="仿宋_GB2312"/>
                <w:color w:val="000000" w:themeColor="text1"/>
                <w:sz w:val="24"/>
                <w:szCs w:val="24"/>
              </w:rPr>
            </w:pPr>
            <w:r>
              <w:rPr>
                <w:rFonts w:hint="eastAsia" w:ascii="仿宋_GB2312"/>
                <w:color w:val="000000" w:themeColor="text1"/>
                <w:sz w:val="24"/>
              </w:rPr>
              <w:t>□</w:t>
            </w:r>
            <w:r>
              <w:rPr>
                <w:rFonts w:hint="eastAsia" w:ascii="仿宋_GB2312" w:hAnsi="仿宋_GB2312" w:cs="仿宋_GB2312"/>
                <w:color w:val="000000" w:themeColor="text1"/>
                <w:sz w:val="24"/>
                <w:szCs w:val="24"/>
              </w:rPr>
              <w:t>装配式钢结构建筑</w:t>
            </w:r>
          </w:p>
          <w:p>
            <w:pPr>
              <w:spacing w:line="240" w:lineRule="exact"/>
              <w:jc w:val="center"/>
              <w:rPr>
                <w:rFonts w:ascii="仿宋_GB2312" w:hAnsi="仿宋_GB2312" w:cs="仿宋_GB2312"/>
                <w:color w:val="000000" w:themeColor="text1"/>
                <w:sz w:val="24"/>
                <w:szCs w:val="24"/>
              </w:rPr>
            </w:pPr>
          </w:p>
          <w:p>
            <w:pPr>
              <w:spacing w:line="240" w:lineRule="exact"/>
              <w:rPr>
                <w:rFonts w:ascii="仿宋_GB2312" w:hAnsi="仿宋_GB2312" w:cs="仿宋_GB2312"/>
                <w:color w:val="000000" w:themeColor="text1"/>
                <w:sz w:val="24"/>
                <w:szCs w:val="24"/>
              </w:rPr>
            </w:pPr>
            <w:r>
              <w:rPr>
                <w:rFonts w:hint="eastAsia" w:ascii="仿宋_GB2312"/>
                <w:color w:val="000000" w:themeColor="text1"/>
                <w:sz w:val="24"/>
              </w:rPr>
              <w:t>□</w:t>
            </w:r>
            <w:r>
              <w:rPr>
                <w:rFonts w:hint="eastAsia" w:ascii="仿宋_GB2312" w:hAnsi="仿宋_GB2312" w:cs="仿宋_GB2312"/>
                <w:color w:val="000000" w:themeColor="text1"/>
                <w:sz w:val="24"/>
                <w:szCs w:val="24"/>
              </w:rPr>
              <w:t>装配式木结构建筑</w:t>
            </w:r>
          </w:p>
          <w:p>
            <w:pPr>
              <w:spacing w:line="240" w:lineRule="exact"/>
              <w:jc w:val="center"/>
              <w:rPr>
                <w:rFonts w:ascii="仿宋_GB2312" w:hAnsi="仿宋_GB2312" w:cs="仿宋_GB2312"/>
                <w:color w:val="000000" w:themeColor="text1"/>
                <w:sz w:val="24"/>
                <w:szCs w:val="24"/>
              </w:rPr>
            </w:pPr>
          </w:p>
          <w:p>
            <w:pPr>
              <w:spacing w:line="240" w:lineRule="exact"/>
              <w:rPr>
                <w:color w:val="000000" w:themeColor="text1"/>
                <w:sz w:val="24"/>
                <w:szCs w:val="24"/>
              </w:rPr>
            </w:pPr>
            <w:r>
              <w:rPr>
                <w:rFonts w:hint="eastAsia" w:ascii="仿宋_GB2312"/>
                <w:color w:val="000000" w:themeColor="text1"/>
                <w:sz w:val="24"/>
              </w:rPr>
              <w:t>□</w:t>
            </w:r>
            <w:r>
              <w:rPr>
                <w:rFonts w:hint="eastAsia" w:ascii="仿宋_GB2312" w:hAnsi="仿宋_GB2312" w:cs="仿宋_GB2312"/>
                <w:color w:val="000000" w:themeColor="text1"/>
                <w:sz w:val="24"/>
                <w:szCs w:val="24"/>
              </w:rPr>
              <w:t>装配式混合结构建筑</w:t>
            </w:r>
          </w:p>
        </w:tc>
        <w:tc>
          <w:tcPr>
            <w:tcW w:w="904" w:type="dxa"/>
            <w:gridSpan w:val="2"/>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r>
              <w:rPr>
                <w:rFonts w:hint="eastAsia" w:ascii="仿宋_GB2312"/>
                <w:color w:val="000000" w:themeColor="text1"/>
                <w:sz w:val="24"/>
                <w:szCs w:val="24"/>
              </w:rPr>
              <w:t>12711.06</w:t>
            </w:r>
          </w:p>
        </w:tc>
        <w:tc>
          <w:tcPr>
            <w:tcW w:w="903" w:type="dxa"/>
            <w:gridSpan w:val="2"/>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p>
          <w:p>
            <w:pPr>
              <w:spacing w:line="240" w:lineRule="exact"/>
              <w:jc w:val="center"/>
              <w:rPr>
                <w:rFonts w:ascii="仿宋_GB2312"/>
                <w:color w:val="000000" w:themeColor="text1"/>
                <w:sz w:val="24"/>
                <w:szCs w:val="24"/>
              </w:rPr>
            </w:pPr>
            <w:r>
              <w:rPr>
                <w:rFonts w:hint="eastAsia" w:ascii="仿宋_GB2312"/>
                <w:color w:val="000000" w:themeColor="text1"/>
                <w:sz w:val="24"/>
                <w:szCs w:val="24"/>
              </w:rPr>
              <w:t>30.2</w:t>
            </w:r>
          </w:p>
          <w:p>
            <w:pPr>
              <w:spacing w:line="240" w:lineRule="exact"/>
              <w:jc w:val="center"/>
              <w:rPr>
                <w:rFonts w:ascii="仿宋_GB2312"/>
                <w:color w:val="000000" w:themeColor="text1"/>
                <w:sz w:val="24"/>
                <w:szCs w:val="24"/>
              </w:rPr>
            </w:pPr>
          </w:p>
        </w:tc>
        <w:tc>
          <w:tcPr>
            <w:tcW w:w="904" w:type="dxa"/>
            <w:tcBorders>
              <w:top w:val="single" w:color="auto" w:sz="4" w:space="0"/>
              <w:left w:val="single" w:color="auto" w:sz="4" w:space="0"/>
              <w:right w:val="single" w:color="auto" w:sz="4" w:space="0"/>
            </w:tcBorders>
            <w:vAlign w:val="center"/>
          </w:tcPr>
          <w:p>
            <w:pPr>
              <w:spacing w:line="240" w:lineRule="exact"/>
              <w:ind w:firstLine="240" w:firstLineChars="100"/>
              <w:rPr>
                <w:rFonts w:ascii="仿宋_GB2312"/>
                <w:color w:val="000000" w:themeColor="text1"/>
                <w:sz w:val="24"/>
                <w:szCs w:val="24"/>
              </w:rPr>
            </w:pPr>
            <w:r>
              <w:rPr>
                <w:rFonts w:hint="eastAsia" w:ascii="仿宋_GB2312"/>
                <w:color w:val="000000" w:themeColor="text1"/>
                <w:sz w:val="24"/>
                <w:szCs w:val="24"/>
              </w:rPr>
              <w:t>10</w:t>
            </w:r>
          </w:p>
        </w:tc>
        <w:tc>
          <w:tcPr>
            <w:tcW w:w="904"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r>
              <w:rPr>
                <w:rFonts w:hint="eastAsia" w:ascii="仿宋_GB2312"/>
                <w:color w:val="000000" w:themeColor="text1"/>
                <w:sz w:val="24"/>
                <w:szCs w:val="24"/>
              </w:rPr>
              <w:t>6</w:t>
            </w:r>
          </w:p>
        </w:tc>
        <w:tc>
          <w:tcPr>
            <w:tcW w:w="903"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r>
              <w:rPr>
                <w:rFonts w:hint="eastAsia" w:ascii="仿宋_GB2312"/>
                <w:color w:val="000000" w:themeColor="text1"/>
                <w:sz w:val="24"/>
                <w:szCs w:val="24"/>
              </w:rPr>
              <w:t>7</w:t>
            </w:r>
          </w:p>
        </w:tc>
        <w:tc>
          <w:tcPr>
            <w:tcW w:w="904"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000000" w:themeColor="text1"/>
                <w:sz w:val="24"/>
                <w:szCs w:val="24"/>
              </w:rPr>
            </w:pPr>
            <w:r>
              <w:rPr>
                <w:rFonts w:hint="eastAsia" w:ascii="仿宋_GB2312"/>
                <w:color w:val="000000" w:themeColor="text1"/>
                <w:sz w:val="24"/>
                <w:szCs w:val="24"/>
              </w:rPr>
              <w:t>53.2</w:t>
            </w:r>
          </w:p>
        </w:tc>
        <w:tc>
          <w:tcPr>
            <w:tcW w:w="91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建设单位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福建省通信产业服务有限公司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福州市台江区五一中路57号15层、16层</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设计单位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福建省建筑设计研究院有限公司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福州市鼓楼区通湖路188号</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both"/>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深化设计单位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福建省建筑设计研究院有限公司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福州市鼓楼区通湖路188号</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施工单位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福建一建集团</w:t>
            </w:r>
            <w:r>
              <w:rPr>
                <w:rFonts w:hint="eastAsia" w:ascii="仿宋_GB2312"/>
                <w:color w:val="000000" w:themeColor="text1"/>
                <w:sz w:val="24"/>
                <w:szCs w:val="24"/>
                <w:lang w:val="en-US" w:eastAsia="zh-CN"/>
              </w:rPr>
              <w:t>有限</w:t>
            </w:r>
            <w:r>
              <w:rPr>
                <w:rFonts w:hint="eastAsia" w:ascii="仿宋_GB2312"/>
                <w:color w:val="000000" w:themeColor="text1"/>
                <w:sz w:val="24"/>
                <w:szCs w:val="24"/>
              </w:rPr>
              <w:t>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福建省三明市三元区新市中路395号9-11层</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监理单位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福建省路海工程管理有限公司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福建省福州市永泰县樟城镇马洋新村260号</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b/>
                <w:bCs/>
                <w:color w:val="000000" w:themeColor="text1"/>
                <w:sz w:val="24"/>
              </w:rPr>
              <w:t>部品部件生产单位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福建省城投科技有限公司</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传真</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福州市连江县琯头镇创新路188号</w:t>
            </w: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邮编</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color w:val="000000" w:themeColor="text1"/>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r>
              <w:rPr>
                <w:rFonts w:hint="eastAsia" w:ascii="仿宋_GB2312"/>
                <w:color w:val="000000" w:themeColor="text1"/>
                <w:sz w:val="24"/>
                <w:szCs w:val="24"/>
              </w:rPr>
              <w:t>手机</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24"/>
                <w:szCs w:val="24"/>
              </w:rPr>
            </w:pPr>
          </w:p>
        </w:tc>
      </w:tr>
    </w:tbl>
    <w:p>
      <w:pPr>
        <w:rPr>
          <w:rFonts w:ascii="Calibri" w:hAnsi="Calibri" w:eastAsia="微软雅黑"/>
          <w:color w:val="000000" w:themeColor="text1"/>
          <w:sz w:val="21"/>
        </w:rPr>
      </w:pPr>
      <w:r>
        <w:rPr>
          <w:color w:val="000000" w:themeColor="text1"/>
        </w:rPr>
        <w:br w:type="page"/>
      </w:r>
    </w:p>
    <w:tbl>
      <w:tblPr>
        <w:tblStyle w:val="4"/>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3670"/>
        <w:gridCol w:w="3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黑体" w:hAnsi="黑体" w:eastAsia="黑体"/>
                <w:color w:val="000000" w:themeColor="text1"/>
                <w:sz w:val="30"/>
              </w:rPr>
            </w:pPr>
            <w:r>
              <w:rPr>
                <w:rFonts w:hint="eastAsia" w:ascii="黑体" w:hAnsi="黑体" w:eastAsia="黑体"/>
                <w:bCs/>
                <w:color w:val="000000" w:themeColor="text1"/>
                <w:sz w:val="30"/>
                <w:szCs w:val="30"/>
              </w:rPr>
              <w:t>二、进度计划安排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color w:val="000000" w:themeColor="text1"/>
                <w:sz w:val="24"/>
              </w:rPr>
            </w:pPr>
            <w:r>
              <w:rPr>
                <w:rFonts w:hint="eastAsia"/>
                <w:b/>
                <w:bCs/>
                <w:color w:val="000000" w:themeColor="text1"/>
                <w:sz w:val="24"/>
              </w:rPr>
              <w:t>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color w:val="000000" w:themeColor="text1"/>
                <w:sz w:val="30"/>
              </w:rPr>
            </w:pPr>
            <w:r>
              <w:rPr>
                <w:rFonts w:hint="eastAsia"/>
                <w:b/>
                <w:bCs/>
                <w:color w:val="000000" w:themeColor="text1"/>
                <w:sz w:val="24"/>
              </w:rPr>
              <w:t>起止时间</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color w:val="000000" w:themeColor="text1"/>
                <w:sz w:val="30"/>
              </w:rPr>
            </w:pPr>
            <w:r>
              <w:rPr>
                <w:rFonts w:hint="eastAsia"/>
                <w:b/>
                <w:bCs/>
                <w:color w:val="000000" w:themeColor="text1"/>
                <w:sz w:val="24"/>
              </w:rPr>
              <w:t>计划安排内容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设计阶段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2021.06.01-2021.07.30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540" w:lineRule="exact"/>
              <w:ind w:firstLine="480" w:firstLineChars="200"/>
              <w:jc w:val="center"/>
              <w:rPr>
                <w:color w:val="000000" w:themeColor="text1"/>
                <w:sz w:val="24"/>
              </w:rPr>
            </w:pPr>
            <w:r>
              <w:rPr>
                <w:rFonts w:hint="eastAsia"/>
                <w:color w:val="000000" w:themeColor="text1"/>
                <w:sz w:val="24"/>
              </w:rPr>
              <w:t xml:space="preserve">施工图设计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建设准备阶段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2021.08.01-2021.09.10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540" w:lineRule="exact"/>
              <w:ind w:firstLine="480" w:firstLineChars="200"/>
              <w:jc w:val="center"/>
              <w:rPr>
                <w:color w:val="000000" w:themeColor="text1"/>
                <w:sz w:val="24"/>
              </w:rPr>
            </w:pPr>
            <w:r>
              <w:rPr>
                <w:rFonts w:hint="eastAsia"/>
                <w:color w:val="000000" w:themeColor="text1"/>
                <w:sz w:val="24"/>
              </w:rPr>
              <w:t>施工许可证办理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建设实施阶段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2021.09.15-2022.05.01</w:t>
            </w:r>
          </w:p>
        </w:tc>
        <w:tc>
          <w:tcPr>
            <w:tcW w:w="3761" w:type="dxa"/>
            <w:tcBorders>
              <w:top w:val="single" w:color="auto" w:sz="4" w:space="0"/>
              <w:left w:val="single" w:color="auto" w:sz="4" w:space="0"/>
              <w:bottom w:val="single" w:color="auto" w:sz="4" w:space="0"/>
              <w:right w:val="single" w:color="auto" w:sz="4" w:space="0"/>
            </w:tcBorders>
            <w:vAlign w:val="center"/>
          </w:tcPr>
          <w:p>
            <w:pPr>
              <w:spacing w:line="540" w:lineRule="exact"/>
              <w:ind w:firstLine="480" w:firstLineChars="200"/>
              <w:jc w:val="center"/>
              <w:rPr>
                <w:color w:val="000000" w:themeColor="text1"/>
                <w:sz w:val="24"/>
              </w:rPr>
            </w:pPr>
            <w:r>
              <w:rPr>
                <w:rFonts w:hint="eastAsia"/>
                <w:color w:val="000000" w:themeColor="text1"/>
                <w:sz w:val="24"/>
              </w:rPr>
              <w:t>项目建设施工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24"/>
              </w:rPr>
            </w:pPr>
            <w:r>
              <w:rPr>
                <w:rFonts w:hint="eastAsia"/>
                <w:color w:val="000000" w:themeColor="text1"/>
                <w:sz w:val="24"/>
              </w:rPr>
              <w:t>竣工验收阶段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2022.06.01-2022.06.30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540" w:lineRule="exact"/>
              <w:ind w:firstLine="480" w:firstLineChars="200"/>
              <w:jc w:val="center"/>
              <w:rPr>
                <w:color w:val="000000" w:themeColor="text1"/>
                <w:sz w:val="24"/>
              </w:rPr>
            </w:pPr>
            <w:r>
              <w:rPr>
                <w:rFonts w:hint="eastAsia"/>
                <w:color w:val="000000" w:themeColor="text1"/>
                <w:sz w:val="24"/>
              </w:rPr>
              <w:t>项目竣工整改及验收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000000" w:themeColor="text1"/>
                <w:sz w:val="30"/>
              </w:rPr>
            </w:pPr>
            <w:r>
              <w:rPr>
                <w:rFonts w:hint="eastAsia" w:ascii="黑体" w:hAnsi="黑体" w:eastAsia="黑体"/>
                <w:bCs/>
                <w:color w:val="000000" w:themeColor="text1"/>
                <w:sz w:val="30"/>
                <w:szCs w:val="30"/>
              </w:rPr>
              <w:t>三、单位工程概况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0"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spacing w:line="540" w:lineRule="exact"/>
              <w:ind w:firstLine="480" w:firstLineChars="200"/>
              <w:jc w:val="left"/>
              <w:rPr>
                <w:color w:val="000000" w:themeColor="text1"/>
                <w:sz w:val="24"/>
              </w:rPr>
            </w:pPr>
            <w:r>
              <w:rPr>
                <w:rFonts w:hint="eastAsia"/>
                <w:color w:val="000000" w:themeColor="text1"/>
                <w:sz w:val="24"/>
              </w:rPr>
              <w:t>福建通服益凤物流园仓储建设工程项目位于福州市晋安区。</w:t>
            </w:r>
          </w:p>
          <w:p>
            <w:pPr>
              <w:spacing w:line="540" w:lineRule="exact"/>
              <w:ind w:firstLine="480" w:firstLineChars="200"/>
              <w:jc w:val="left"/>
              <w:rPr>
                <w:color w:val="000000" w:themeColor="text1"/>
                <w:sz w:val="24"/>
              </w:rPr>
            </w:pPr>
            <w:r>
              <w:rPr>
                <w:rFonts w:hint="eastAsia"/>
                <w:color w:val="000000" w:themeColor="text1"/>
                <w:sz w:val="24"/>
              </w:rPr>
              <w:t>项目总建筑面积12744.86平方米，包含一栋多层仓库，两栋一层门卫及一栋一层垃圾集散间。</w:t>
            </w:r>
          </w:p>
          <w:p>
            <w:pPr>
              <w:spacing w:line="540" w:lineRule="exact"/>
              <w:ind w:firstLine="480" w:firstLineChars="200"/>
              <w:jc w:val="left"/>
              <w:rPr>
                <w:color w:val="000000" w:themeColor="text1"/>
                <w:sz w:val="24"/>
              </w:rPr>
            </w:pPr>
            <w:r>
              <w:rPr>
                <w:rFonts w:hint="eastAsia"/>
                <w:color w:val="000000" w:themeColor="text1"/>
                <w:sz w:val="24"/>
              </w:rPr>
              <w:t xml:space="preserve">1#物流配送中心采用装配式方式建造；1#物流配送中心、2#、3#门卫、4#垃圾集散间结构体系均为钢筋混凝土框架结构。   </w:t>
            </w:r>
          </w:p>
          <w:p>
            <w:pPr>
              <w:spacing w:line="540" w:lineRule="exact"/>
              <w:ind w:firstLine="480" w:firstLineChars="200"/>
              <w:jc w:val="left"/>
              <w:rPr>
                <w:color w:val="000000" w:themeColor="text1"/>
                <w:sz w:val="24"/>
              </w:rPr>
            </w:pPr>
            <w:r>
              <w:rPr>
                <w:rFonts w:hint="eastAsia"/>
                <w:color w:val="000000" w:themeColor="text1"/>
                <w:sz w:val="24"/>
              </w:rPr>
              <w:t>装配式建筑总面积：12711.06平方米，项目总建筑面积12744.86平方米，采用装配式建造的建筑面积占比为99.73%。</w:t>
            </w:r>
          </w:p>
          <w:p>
            <w:pPr>
              <w:spacing w:line="540" w:lineRule="exact"/>
              <w:ind w:firstLine="480" w:firstLineChars="200"/>
              <w:jc w:val="left"/>
              <w:rPr>
                <w:rFonts w:hint="eastAsia" w:ascii="仿宋_GB2312"/>
                <w:color w:val="000000" w:themeColor="text1"/>
                <w:sz w:val="24"/>
              </w:rPr>
            </w:pPr>
            <w:r>
              <w:rPr>
                <w:rFonts w:hint="eastAsia" w:ascii="仿宋_GB2312"/>
                <w:color w:val="000000" w:themeColor="text1"/>
                <w:sz w:val="24"/>
              </w:rPr>
              <w:t>本工程施工图设计文件已通过审图机构审查。审查机构：福建省建科院施工图审查有限公司。合格证编号: 3501112005090191-TX-003。</w:t>
            </w:r>
          </w:p>
          <w:p>
            <w:pPr>
              <w:spacing w:line="540" w:lineRule="exact"/>
              <w:ind w:firstLine="480" w:firstLineChars="200"/>
              <w:jc w:val="left"/>
              <w:rPr>
                <w:rFonts w:hint="eastAsia" w:ascii="仿宋_GB2312"/>
                <w:color w:val="000000" w:themeColor="text1"/>
                <w:sz w:val="24"/>
              </w:rPr>
            </w:pPr>
          </w:p>
          <w:p>
            <w:pPr>
              <w:rPr>
                <w:color w:val="000000" w:themeColor="text1"/>
                <w:sz w:val="30"/>
              </w:rPr>
            </w:pPr>
          </w:p>
          <w:p>
            <w:pPr>
              <w:rPr>
                <w:color w:val="000000" w:themeColor="text1"/>
                <w:sz w:val="30"/>
              </w:rPr>
            </w:pPr>
          </w:p>
          <w:p>
            <w:pPr>
              <w:rPr>
                <w:color w:val="000000" w:themeColor="text1"/>
                <w:sz w:val="30"/>
              </w:rPr>
            </w:pPr>
          </w:p>
          <w:p>
            <w:pPr>
              <w:rPr>
                <w:color w:val="000000" w:themeColor="text1"/>
                <w:sz w:val="30"/>
              </w:rPr>
            </w:pPr>
          </w:p>
          <w:p>
            <w:pPr>
              <w:rPr>
                <w:color w:val="000000" w:themeColor="text1"/>
                <w:sz w:val="30"/>
              </w:rPr>
            </w:pPr>
          </w:p>
          <w:p>
            <w:pPr>
              <w:rPr>
                <w:color w:val="000000" w:themeColor="text1"/>
                <w:sz w:val="30"/>
              </w:rPr>
            </w:pPr>
          </w:p>
          <w:p>
            <w:pPr>
              <w:rPr>
                <w:color w:val="000000" w:themeColor="text1"/>
                <w:sz w:val="30"/>
              </w:rPr>
            </w:pPr>
          </w:p>
          <w:p>
            <w:pPr>
              <w:rPr>
                <w:color w:val="000000" w:themeColor="text1"/>
                <w:sz w:val="30"/>
              </w:rPr>
            </w:pPr>
          </w:p>
        </w:tc>
      </w:tr>
    </w:tbl>
    <w:p>
      <w:pPr>
        <w:widowControl/>
        <w:jc w:val="left"/>
        <w:rPr>
          <w:color w:val="000000" w:themeColor="text1"/>
          <w:szCs w:val="32"/>
        </w:rPr>
        <w:sectPr>
          <w:pgSz w:w="11906" w:h="16838"/>
          <w:pgMar w:top="2098" w:right="1474" w:bottom="1985" w:left="1474" w:header="851" w:footer="992" w:gutter="0"/>
          <w:pgNumType w:fmt="numberInDash"/>
          <w:cols w:space="720" w:num="1"/>
        </w:sectPr>
      </w:pPr>
    </w:p>
    <w:p>
      <w:pPr>
        <w:rPr>
          <w:rFonts w:ascii="Calibri" w:hAnsi="Calibri" w:eastAsia="微软雅黑"/>
          <w:color w:val="000000" w:themeColor="text1"/>
          <w:sz w:val="21"/>
        </w:rPr>
      </w:pP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672"/>
        <w:gridCol w:w="2095"/>
        <w:gridCol w:w="3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color w:val="000000" w:themeColor="text1"/>
                <w:sz w:val="30"/>
                <w:szCs w:val="30"/>
              </w:rPr>
            </w:pPr>
            <w:r>
              <w:rPr>
                <w:rFonts w:hint="eastAsia" w:ascii="黑体" w:hAnsi="黑体" w:eastAsia="黑体"/>
                <w:bCs/>
                <w:color w:val="000000" w:themeColor="text1"/>
                <w:sz w:val="30"/>
                <w:szCs w:val="30"/>
              </w:rPr>
              <w:t>四、评价内容简介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400" w:lineRule="exact"/>
              <w:rPr>
                <w:color w:val="000000" w:themeColor="text1"/>
                <w:sz w:val="24"/>
                <w:szCs w:val="24"/>
              </w:rPr>
            </w:pPr>
            <w:r>
              <w:rPr>
                <w:color w:val="000000" w:themeColor="text1"/>
                <w:sz w:val="24"/>
                <w:szCs w:val="24"/>
              </w:rPr>
              <w:t>1</w:t>
            </w:r>
            <w:r>
              <w:rPr>
                <w:rFonts w:hint="eastAsia"/>
                <w:color w:val="000000" w:themeColor="text1"/>
                <w:sz w:val="24"/>
                <w:szCs w:val="24"/>
              </w:rPr>
              <w:t>．主体结构应用情况</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1.1、本项目</w:t>
            </w:r>
            <w:r>
              <w:rPr>
                <w:rFonts w:hint="eastAsia"/>
                <w:color w:val="000000" w:themeColor="text1"/>
                <w:sz w:val="24"/>
              </w:rPr>
              <w:t>1#物流配送中心</w:t>
            </w:r>
            <w:r>
              <w:rPr>
                <w:rFonts w:hint="eastAsia" w:ascii="仿宋_GB2312" w:hAnsi="仿宋_GB2312" w:cs="仿宋_GB2312"/>
                <w:color w:val="000000" w:themeColor="text1"/>
                <w:sz w:val="24"/>
                <w:szCs w:val="24"/>
              </w:rPr>
              <w:t>预制构件为预制叠合板。</w:t>
            </w:r>
          </w:p>
          <w:p>
            <w:pPr>
              <w:spacing w:line="560" w:lineRule="exact"/>
              <w:ind w:firstLine="480" w:firstLineChars="200"/>
              <w:rPr>
                <w:rFonts w:ascii="等线" w:hAnsi="等线"/>
                <w:color w:val="000000" w:themeColor="text1"/>
                <w:sz w:val="24"/>
                <w:szCs w:val="24"/>
              </w:rPr>
            </w:pPr>
            <w:r>
              <w:rPr>
                <w:rFonts w:hint="eastAsia" w:ascii="仿宋_GB2312" w:hAnsi="仿宋_GB2312" w:cs="仿宋_GB2312"/>
                <w:color w:val="000000" w:themeColor="text1"/>
                <w:sz w:val="24"/>
                <w:szCs w:val="24"/>
              </w:rPr>
              <w:t>水</w:t>
            </w:r>
            <w:r>
              <w:rPr>
                <w:rFonts w:hint="eastAsia" w:ascii="仿宋_GB2312"/>
                <w:color w:val="000000" w:themeColor="text1"/>
                <w:sz w:val="24"/>
                <w:szCs w:val="24"/>
              </w:rPr>
              <w:t>平构件中预制部品部件的应用比例计算</w:t>
            </w:r>
            <w:r>
              <w:rPr>
                <w:rFonts w:hint="eastAsia" w:ascii="等线" w:hAnsi="等线"/>
                <w:color w:val="000000" w:themeColor="text1"/>
                <w:sz w:val="24"/>
                <w:szCs w:val="24"/>
              </w:rPr>
              <w:t>：</w:t>
            </w:r>
          </w:p>
          <w:tbl>
            <w:tblPr>
              <w:tblStyle w:val="4"/>
              <w:tblW w:w="7114"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1751"/>
              <w:gridCol w:w="1559"/>
              <w:gridCol w:w="1268"/>
              <w:gridCol w:w="1435"/>
              <w:gridCol w:w="1101"/>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17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楼栋</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预制构件水平投影总面积(㎡)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建筑外轮廓总面积(㎡)</w:t>
                  </w:r>
                </w:p>
              </w:tc>
              <w:tc>
                <w:tcPr>
                  <w:tcW w:w="14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预制部品部件的应用比例Q1c(%)</w:t>
                  </w:r>
                </w:p>
              </w:tc>
              <w:tc>
                <w:tcPr>
                  <w:tcW w:w="110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装配率</w:t>
                  </w:r>
                </w:p>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评价分值</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7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color w:val="000000" w:themeColor="text1"/>
                      <w:sz w:val="24"/>
                    </w:rPr>
                    <w:t>1#物流配送中心</w:t>
                  </w: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10325.37</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12731.43</w:t>
                  </w:r>
                </w:p>
              </w:tc>
              <w:tc>
                <w:tcPr>
                  <w:tcW w:w="14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81.10%</w:t>
                  </w:r>
                </w:p>
              </w:tc>
              <w:tc>
                <w:tcPr>
                  <w:tcW w:w="110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31.1</w:t>
                  </w:r>
                </w:p>
              </w:tc>
            </w:tr>
          </w:tbl>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1.2、本项目</w:t>
            </w:r>
            <w:r>
              <w:rPr>
                <w:rFonts w:hint="eastAsia"/>
                <w:color w:val="000000" w:themeColor="text1"/>
                <w:sz w:val="24"/>
              </w:rPr>
              <w:t>1#物流配送中心</w:t>
            </w:r>
            <w:r>
              <w:rPr>
                <w:rFonts w:hint="eastAsia" w:ascii="仿宋_GB2312" w:hAnsi="仿宋_GB2312" w:cs="仿宋_GB2312"/>
                <w:color w:val="000000" w:themeColor="text1"/>
                <w:sz w:val="24"/>
                <w:szCs w:val="24"/>
              </w:rPr>
              <w:t>轮廓尺寸为2820x2175的预制叠合板个数为108块，轮廓尺寸相同的预制构件个数在100~200之间，按内插法得分1.1分。</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1.3、本项目不存在不符合1M基本模数整倍数的轴线尺寸，不扣分；不存在不符合扩大模数2M、3M整倍数的楼梯间开间及进深的轴线尺寸，不扣分；存在不符合1M基本模数整倍数的层高，此项扣2分；</w:t>
            </w:r>
          </w:p>
          <w:p>
            <w:pPr>
              <w:spacing w:line="560" w:lineRule="exact"/>
              <w:ind w:firstLine="480" w:firstLineChars="200"/>
              <w:rPr>
                <w:rFonts w:ascii="仿宋_GB2312"/>
                <w:color w:val="000000" w:themeColor="text1"/>
                <w:sz w:val="24"/>
                <w:szCs w:val="24"/>
              </w:rPr>
            </w:pPr>
            <w:r>
              <w:rPr>
                <w:rFonts w:hint="eastAsia" w:ascii="仿宋_GB2312" w:hAnsi="仿宋_GB2312" w:cs="仿宋_GB2312"/>
                <w:color w:val="000000" w:themeColor="text1"/>
                <w:sz w:val="24"/>
                <w:szCs w:val="24"/>
              </w:rPr>
              <w:t>根据</w:t>
            </w:r>
            <w:r>
              <w:rPr>
                <w:rFonts w:hint="eastAsia" w:ascii="仿宋_GB2312"/>
                <w:color w:val="000000" w:themeColor="text1"/>
                <w:sz w:val="24"/>
                <w:szCs w:val="24"/>
              </w:rPr>
              <w:t>《福建省装配式建筑评价管理办法（试行）》</w:t>
            </w:r>
            <w:r>
              <w:rPr>
                <w:rFonts w:hint="eastAsia" w:ascii="仿宋_GB2312" w:hAnsi="仿宋_GB2312" w:cs="仿宋_GB2312"/>
                <w:color w:val="000000" w:themeColor="text1"/>
                <w:sz w:val="24"/>
                <w:szCs w:val="24"/>
              </w:rPr>
              <w:t>规定，本项目主体结构总得分为：</w:t>
            </w:r>
            <w:r>
              <w:rPr>
                <w:rFonts w:hint="eastAsia" w:ascii="仿宋_GB2312"/>
                <w:color w:val="000000" w:themeColor="text1"/>
                <w:sz w:val="24"/>
              </w:rPr>
              <w:t>1#楼</w:t>
            </w:r>
            <w:r>
              <w:rPr>
                <w:rFonts w:hint="eastAsia" w:ascii="仿宋_GB2312"/>
                <w:color w:val="000000" w:themeColor="text1"/>
                <w:sz w:val="24"/>
                <w:szCs w:val="24"/>
                <w:u w:val="single"/>
              </w:rPr>
              <w:t>30.2分</w:t>
            </w:r>
            <w:r>
              <w:rPr>
                <w:rFonts w:hint="eastAsia" w:ascii="仿宋_GB2312"/>
                <w:color w:val="000000" w:themeColor="text1"/>
                <w:sz w:val="24"/>
                <w:szCs w:val="24"/>
              </w:rPr>
              <w:t>。</w:t>
            </w:r>
          </w:p>
          <w:p>
            <w:pPr>
              <w:spacing w:line="560" w:lineRule="exact"/>
              <w:ind w:firstLine="480" w:firstLineChars="200"/>
              <w:rPr>
                <w:rFonts w:ascii="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2"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numPr>
                <w:ilvl w:val="0"/>
                <w:numId w:val="1"/>
              </w:numPr>
              <w:spacing w:line="560" w:lineRule="exact"/>
              <w:rPr>
                <w:color w:val="000000" w:themeColor="text1"/>
                <w:sz w:val="24"/>
                <w:szCs w:val="24"/>
              </w:rPr>
            </w:pPr>
            <w:r>
              <w:rPr>
                <w:rFonts w:hint="eastAsia"/>
                <w:color w:val="000000" w:themeColor="text1"/>
                <w:sz w:val="24"/>
                <w:szCs w:val="24"/>
              </w:rPr>
              <w:t>围护墙和内隔墙应用情况</w:t>
            </w:r>
          </w:p>
          <w:p>
            <w:pPr>
              <w:spacing w:line="560" w:lineRule="exact"/>
              <w:ind w:firstLine="480"/>
              <w:rPr>
                <w:rFonts w:ascii="仿宋_GB2312"/>
                <w:color w:val="000000" w:themeColor="text1"/>
                <w:sz w:val="24"/>
                <w:szCs w:val="24"/>
              </w:rPr>
            </w:pPr>
            <w:r>
              <w:rPr>
                <w:rFonts w:hint="eastAsia" w:ascii="仿宋_GB2312"/>
                <w:color w:val="000000" w:themeColor="text1"/>
                <w:sz w:val="24"/>
                <w:szCs w:val="24"/>
              </w:rPr>
              <w:t>本项目</w:t>
            </w:r>
            <w:r>
              <w:rPr>
                <w:rFonts w:hint="eastAsia"/>
                <w:color w:val="000000" w:themeColor="text1"/>
                <w:sz w:val="24"/>
              </w:rPr>
              <w:t>1#物流配送中心</w:t>
            </w:r>
            <w:r>
              <w:rPr>
                <w:rFonts w:hint="eastAsia" w:ascii="仿宋_GB2312"/>
                <w:color w:val="000000" w:themeColor="text1"/>
                <w:sz w:val="24"/>
                <w:szCs w:val="24"/>
              </w:rPr>
              <w:t>采用装配式内隔墙，装配式内隔墙应用比例计算如下表：</w:t>
            </w:r>
          </w:p>
          <w:tbl>
            <w:tblPr>
              <w:tblStyle w:val="4"/>
              <w:tblW w:w="7176"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1813"/>
              <w:gridCol w:w="1559"/>
              <w:gridCol w:w="1268"/>
              <w:gridCol w:w="1268"/>
              <w:gridCol w:w="1268"/>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545" w:hRule="atLeast"/>
                <w:jc w:val="center"/>
              </w:trPr>
              <w:tc>
                <w:tcPr>
                  <w:tcW w:w="181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themeColor="text1"/>
                      <w:sz w:val="24"/>
                      <w:szCs w:val="24"/>
                    </w:rPr>
                  </w:pPr>
                  <w:r>
                    <w:rPr>
                      <w:rFonts w:hint="eastAsia"/>
                      <w:color w:val="000000" w:themeColor="text1"/>
                      <w:sz w:val="24"/>
                      <w:szCs w:val="24"/>
                    </w:rPr>
                    <w:t>楼栋</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themeColor="text1"/>
                      <w:sz w:val="24"/>
                      <w:szCs w:val="24"/>
                    </w:rPr>
                  </w:pPr>
                  <w:r>
                    <w:rPr>
                      <w:rFonts w:hint="eastAsia"/>
                      <w:color w:val="000000" w:themeColor="text1"/>
                      <w:sz w:val="24"/>
                      <w:szCs w:val="24"/>
                    </w:rPr>
                    <w:t>装配式内隔墙面积(㎡)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themeColor="text1"/>
                      <w:sz w:val="24"/>
                      <w:szCs w:val="24"/>
                    </w:rPr>
                  </w:pPr>
                  <w:r>
                    <w:rPr>
                      <w:rFonts w:hint="eastAsia"/>
                      <w:color w:val="000000" w:themeColor="text1"/>
                      <w:sz w:val="24"/>
                      <w:szCs w:val="24"/>
                    </w:rPr>
                    <w:t>内隔墙总面积(㎡)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themeColor="text1"/>
                      <w:sz w:val="24"/>
                      <w:szCs w:val="24"/>
                    </w:rPr>
                  </w:pPr>
                  <w:r>
                    <w:rPr>
                      <w:rFonts w:hint="eastAsia"/>
                      <w:color w:val="000000" w:themeColor="text1"/>
                      <w:sz w:val="24"/>
                      <w:szCs w:val="24"/>
                    </w:rPr>
                    <w:t>装配式内隔墙应用比例Q2c(%)</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color w:val="000000" w:themeColor="text1"/>
                      <w:sz w:val="24"/>
                      <w:szCs w:val="24"/>
                    </w:rPr>
                  </w:pPr>
                  <w:r>
                    <w:rPr>
                      <w:rFonts w:hint="eastAsia"/>
                      <w:color w:val="000000" w:themeColor="text1"/>
                      <w:sz w:val="24"/>
                      <w:szCs w:val="24"/>
                    </w:rPr>
                    <w:t>装配率</w:t>
                  </w:r>
                </w:p>
                <w:p>
                  <w:pPr>
                    <w:spacing w:line="240" w:lineRule="exact"/>
                    <w:jc w:val="center"/>
                    <w:rPr>
                      <w:color w:val="000000" w:themeColor="text1"/>
                      <w:sz w:val="24"/>
                      <w:szCs w:val="24"/>
                    </w:rPr>
                  </w:pPr>
                  <w:r>
                    <w:rPr>
                      <w:rFonts w:hint="eastAsia"/>
                      <w:color w:val="000000" w:themeColor="text1"/>
                      <w:sz w:val="24"/>
                      <w:szCs w:val="24"/>
                    </w:rPr>
                    <w:t>评价分值</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181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color w:val="000000" w:themeColor="text1"/>
                      <w:sz w:val="24"/>
                    </w:rPr>
                    <w:t>1#物流配送中心</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4885.7</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6102.25</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80.1%</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10</w:t>
                  </w:r>
                </w:p>
              </w:tc>
            </w:tr>
          </w:tbl>
          <w:p>
            <w:pPr>
              <w:spacing w:line="560" w:lineRule="exact"/>
              <w:ind w:firstLine="480" w:firstLineChars="200"/>
              <w:rPr>
                <w:color w:val="000000" w:themeColor="text1"/>
                <w:sz w:val="24"/>
                <w:szCs w:val="24"/>
              </w:rPr>
            </w:pPr>
            <w:r>
              <w:rPr>
                <w:rFonts w:hint="eastAsia" w:ascii="仿宋_GB2312"/>
                <w:color w:val="000000" w:themeColor="text1"/>
                <w:sz w:val="24"/>
                <w:szCs w:val="24"/>
              </w:rPr>
              <w:t>本项目</w:t>
            </w:r>
            <w:r>
              <w:rPr>
                <w:rFonts w:hint="eastAsia"/>
                <w:color w:val="000000" w:themeColor="text1"/>
                <w:sz w:val="24"/>
              </w:rPr>
              <w:t>1#物流配送中心</w:t>
            </w:r>
            <w:r>
              <w:rPr>
                <w:rFonts w:hint="eastAsia" w:ascii="仿宋_GB2312"/>
                <w:color w:val="000000" w:themeColor="text1"/>
                <w:sz w:val="24"/>
                <w:szCs w:val="24"/>
              </w:rPr>
              <w:t>装配式内隔墙应用比例大于80%，根据《福建省装配式建筑评价管理办法（试行）》规定，本项目装配式内隔墙得分为10分。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color w:val="000000" w:themeColor="text1"/>
                <w:sz w:val="24"/>
                <w:szCs w:val="24"/>
              </w:rPr>
            </w:pPr>
            <w:r>
              <w:rPr>
                <w:color w:val="000000" w:themeColor="text1"/>
                <w:sz w:val="24"/>
                <w:szCs w:val="24"/>
              </w:rPr>
              <w:t>3</w:t>
            </w:r>
            <w:r>
              <w:rPr>
                <w:rFonts w:hint="eastAsia"/>
                <w:color w:val="000000" w:themeColor="text1"/>
                <w:sz w:val="24"/>
                <w:szCs w:val="24"/>
              </w:rPr>
              <w:t>．装修和设备管线应用情况</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根据《福建省装配式建筑评价管理办法（试行）》规定：本项目各单体建筑采用全装修，建筑功能空间的固定面装修和设备设施安装全部完成，达到建筑使用功能和性能的基本要求，得分6分。</w:t>
            </w:r>
          </w:p>
          <w:p>
            <w:pPr>
              <w:spacing w:line="560" w:lineRule="exact"/>
              <w:ind w:firstLine="480" w:firstLineChars="200"/>
              <w:rPr>
                <w:rFonts w:ascii="仿宋_GB2312" w:hAnsi="仿宋_GB2312" w:cs="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8"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numPr>
                <w:ilvl w:val="0"/>
                <w:numId w:val="2"/>
              </w:numPr>
              <w:spacing w:line="560" w:lineRule="exact"/>
              <w:rPr>
                <w:color w:val="000000" w:themeColor="text1"/>
                <w:sz w:val="24"/>
                <w:szCs w:val="24"/>
              </w:rPr>
            </w:pPr>
            <w:r>
              <w:rPr>
                <w:rFonts w:hint="eastAsia"/>
                <w:color w:val="000000" w:themeColor="text1"/>
                <w:sz w:val="24"/>
                <w:szCs w:val="24"/>
              </w:rPr>
              <w:t>技术创新应用情况</w:t>
            </w:r>
          </w:p>
          <w:p>
            <w:pPr>
              <w:shd w:val="clear" w:color="auto" w:fill="FFFFFF"/>
              <w:tabs>
                <w:tab w:val="left" w:pos="709"/>
              </w:tabs>
              <w:spacing w:line="500" w:lineRule="exact"/>
              <w:ind w:firstLine="480" w:firstLineChars="200"/>
              <w:rPr>
                <w:rFonts w:ascii="仿宋_GB2312" w:hAnsi="宋体"/>
                <w:bCs/>
                <w:color w:val="000000" w:themeColor="text1"/>
                <w:sz w:val="24"/>
                <w:szCs w:val="24"/>
              </w:rPr>
            </w:pPr>
            <w:r>
              <w:rPr>
                <w:rFonts w:hint="eastAsia" w:ascii="仿宋_GB2312" w:hAnsi="仿宋_GB2312" w:cs="仿宋_GB2312"/>
                <w:color w:val="000000" w:themeColor="text1"/>
                <w:sz w:val="24"/>
                <w:szCs w:val="24"/>
              </w:rPr>
              <w:t>4.1、根据《福建省装配式建筑评价管理办法（试行）》规定：本项目各单体在设计阶段采用BIM技术，提供符合国家《建筑信息模型设计交付标准》相关要求，建模细度达到LOD3.0的全专业BIM模型，得分1分；在施工阶段采用BIM技术，提供与装配式主体结构评价得分项相关的预制构件深化设计BIM模型，得2分；提供与装配式围护墙与内隔墙、装饰装修和设备管线评价得分项相关的深化设计BIM模型，得1分；</w:t>
            </w:r>
          </w:p>
          <w:p>
            <w:pPr>
              <w:spacing w:line="560" w:lineRule="exact"/>
              <w:ind w:firstLine="480"/>
              <w:rPr>
                <w:rFonts w:ascii="仿宋_GB2312" w:hAnsi="仿宋_GB2312" w:cs="仿宋_GB2312"/>
                <w:color w:val="000000" w:themeColor="text1"/>
                <w:sz w:val="24"/>
                <w:szCs w:val="24"/>
              </w:rPr>
            </w:pPr>
            <w:r>
              <w:rPr>
                <w:rFonts w:ascii="仿宋_GB2312" w:hAnsi="仿宋_GB2312" w:cs="仿宋_GB2312"/>
                <w:color w:val="000000" w:themeColor="text1"/>
                <w:sz w:val="24"/>
                <w:szCs w:val="24"/>
              </w:rPr>
              <w:t>4.2</w:t>
            </w:r>
            <w:r>
              <w:rPr>
                <w:rFonts w:hint="eastAsia" w:ascii="仿宋_GB2312" w:hAnsi="仿宋_GB2312" w:cs="仿宋_GB2312"/>
                <w:color w:val="000000" w:themeColor="text1"/>
                <w:sz w:val="24"/>
                <w:szCs w:val="24"/>
              </w:rPr>
              <w:t>、本项目采用工程总承包模式，得分1分；</w:t>
            </w:r>
          </w:p>
          <w:p>
            <w:pPr>
              <w:spacing w:line="560" w:lineRule="exact"/>
              <w:ind w:firstLine="480"/>
              <w:rPr>
                <w:rFonts w:ascii="仿宋_GB2312" w:hAnsi="宋体"/>
                <w:bCs/>
                <w:color w:val="000000" w:themeColor="text1"/>
                <w:sz w:val="24"/>
                <w:szCs w:val="24"/>
              </w:rPr>
            </w:pPr>
            <w:r>
              <w:rPr>
                <w:rFonts w:ascii="仿宋_GB2312" w:hAnsi="仿宋_GB2312" w:cs="仿宋_GB2312"/>
                <w:color w:val="000000" w:themeColor="text1"/>
                <w:sz w:val="24"/>
                <w:szCs w:val="24"/>
              </w:rPr>
              <w:t>4.</w:t>
            </w:r>
            <w:r>
              <w:rPr>
                <w:rFonts w:hint="eastAsia" w:ascii="仿宋_GB2312" w:hAnsi="仿宋_GB2312" w:cs="仿宋_GB2312"/>
                <w:color w:val="000000" w:themeColor="text1"/>
                <w:sz w:val="24"/>
                <w:szCs w:val="24"/>
              </w:rPr>
              <w:t>3、本项目采用</w:t>
            </w:r>
            <w:r>
              <w:rPr>
                <w:color w:val="000000" w:themeColor="text1"/>
                <w:sz w:val="24"/>
                <w:szCs w:val="24"/>
              </w:rPr>
              <w:t>可追溯管理系统</w:t>
            </w:r>
            <w:r>
              <w:rPr>
                <w:rFonts w:hint="eastAsia" w:ascii="仿宋_GB2312" w:hAnsi="宋体"/>
                <w:bCs/>
                <w:color w:val="000000" w:themeColor="text1"/>
                <w:sz w:val="24"/>
                <w:szCs w:val="24"/>
              </w:rPr>
              <w:t>，得分2分</w:t>
            </w:r>
            <w:r>
              <w:rPr>
                <w:rFonts w:hint="eastAsia" w:ascii="仿宋_GB2312" w:hAnsi="仿宋_GB2312" w:cs="仿宋_GB2312"/>
                <w:color w:val="000000" w:themeColor="text1"/>
                <w:sz w:val="24"/>
                <w:szCs w:val="24"/>
              </w:rPr>
              <w:t>。</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综上，本项目技术创新应用总得分为1+3+1+2=7分。</w:t>
            </w:r>
          </w:p>
          <w:p>
            <w:pPr>
              <w:spacing w:line="560" w:lineRule="exact"/>
              <w:ind w:firstLine="480" w:firstLineChars="200"/>
              <w:rPr>
                <w:rFonts w:ascii="仿宋_GB2312" w:hAnsi="仿宋_GB2312" w:cs="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40" w:lineRule="exact"/>
              <w:rPr>
                <w:rFonts w:ascii="仿宋_GB2312"/>
                <w:color w:val="000000" w:themeColor="text1"/>
                <w:sz w:val="30"/>
              </w:rPr>
            </w:pPr>
            <w:r>
              <w:rPr>
                <w:rFonts w:hint="eastAsia" w:ascii="黑体" w:hAnsi="黑体" w:eastAsia="黑体"/>
                <w:bCs/>
                <w:color w:val="000000" w:themeColor="text1"/>
                <w:sz w:val="30"/>
                <w:szCs w:val="30"/>
              </w:rPr>
              <w:t>五、申报单位概况</w:t>
            </w:r>
            <w:r>
              <w:rPr>
                <w:rFonts w:hint="eastAsia" w:ascii="仿宋_GB2312" w:hAnsi="宋体"/>
                <w:color w:val="000000" w:themeColor="text1"/>
                <w:sz w:val="24"/>
                <w:szCs w:val="24"/>
              </w:rPr>
              <w:t>（多个单位联合申报应分别介绍）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0"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rFonts w:ascii="仿宋_GB2312" w:hAnsi="仿宋_GB2312" w:cs="仿宋_GB2312"/>
                <w:b/>
                <w:bCs/>
                <w:color w:val="000000" w:themeColor="text1"/>
                <w:sz w:val="24"/>
                <w:szCs w:val="24"/>
              </w:rPr>
            </w:pPr>
            <w:r>
              <w:rPr>
                <w:rFonts w:hint="eastAsia" w:ascii="仿宋_GB2312" w:hAnsi="仿宋_GB2312" w:cs="仿宋_GB2312"/>
                <w:b/>
                <w:bCs/>
                <w:color w:val="000000" w:themeColor="text1"/>
                <w:sz w:val="24"/>
                <w:szCs w:val="24"/>
              </w:rPr>
              <w:t>建设单位概况：</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福建省通信产业服务有限公司于2006年9月成立，是中国通信服务股份有限公司的全资子公司，地址位于福州市台江区五一中路57号闽东大厦。公司定位为通信运营商的服务商，业务拥有网络建设、外包服务、内容应用及其他等三大板块，涉及通信科研、规划设计、工程施工、软件开发、代维代营、物业管理、物流配送、增值业务等。下设有福建省邮电规划设计院、工程公司、邮科公司、电信技术公司、物业公司、物流公司等多家子公司。主要客户覆盖中国移动、中国电信、中国联通、中国网通、中国铁塔等各大通信运营商及政企客户。</w:t>
            </w:r>
          </w:p>
          <w:p>
            <w:pPr>
              <w:spacing w:line="560" w:lineRule="exact"/>
              <w:ind w:firstLine="480" w:firstLineChars="200"/>
              <w:rPr>
                <w:rFonts w:ascii="仿宋_GB2312" w:hAnsi="仿宋_GB2312" w:cs="仿宋_GB2312"/>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rPr>
                <w:rFonts w:ascii="仿宋_GB2312"/>
                <w:color w:val="000000" w:themeColor="text1"/>
                <w:sz w:val="30"/>
              </w:rPr>
            </w:pPr>
            <w:r>
              <w:rPr>
                <w:rFonts w:hint="eastAsia" w:ascii="黑体" w:hAnsi="黑体" w:eastAsia="黑体"/>
                <w:bCs/>
                <w:color w:val="000000" w:themeColor="text1"/>
                <w:sz w:val="30"/>
                <w:szCs w:val="30"/>
              </w:rPr>
              <w:t>六、项目主要参加人员</w:t>
            </w:r>
            <w:r>
              <w:rPr>
                <w:rFonts w:hint="eastAsia" w:ascii="仿宋_GB2312" w:hAnsi="宋体"/>
                <w:color w:val="000000" w:themeColor="text1"/>
                <w:sz w:val="24"/>
              </w:rPr>
              <w:t>（包括建设、代建、工程总承包、设计、主要构件生产、施工、监理、咨询单位技术负责人）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color w:val="000000" w:themeColor="text1"/>
                <w:sz w:val="30"/>
              </w:rPr>
            </w:pPr>
            <w:r>
              <w:rPr>
                <w:rFonts w:hint="eastAsia" w:ascii="仿宋_GB2312" w:hAnsi="宋体"/>
                <w:color w:val="000000" w:themeColor="text1"/>
                <w:sz w:val="24"/>
              </w:rPr>
              <w:t>姓名</w:t>
            </w: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color w:val="000000" w:themeColor="text1"/>
                <w:sz w:val="30"/>
              </w:rPr>
            </w:pPr>
            <w:r>
              <w:rPr>
                <w:rFonts w:hint="eastAsia" w:ascii="仿宋_GB2312" w:hAnsi="宋体"/>
                <w:color w:val="000000" w:themeColor="text1"/>
                <w:sz w:val="24"/>
              </w:rPr>
              <w:t>职务</w:t>
            </w:r>
          </w:p>
        </w:tc>
        <w:tc>
          <w:tcPr>
            <w:tcW w:w="209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color w:val="000000" w:themeColor="text1"/>
                <w:sz w:val="30"/>
              </w:rPr>
            </w:pPr>
            <w:r>
              <w:rPr>
                <w:rFonts w:hint="eastAsia" w:ascii="仿宋_GB2312" w:hAnsi="宋体"/>
                <w:color w:val="000000" w:themeColor="text1"/>
                <w:sz w:val="24"/>
              </w:rPr>
              <w:t>职称</w:t>
            </w:r>
          </w:p>
        </w:tc>
        <w:tc>
          <w:tcPr>
            <w:tcW w:w="38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000000" w:themeColor="text1"/>
                <w:sz w:val="30"/>
              </w:rPr>
            </w:pPr>
            <w:r>
              <w:rPr>
                <w:rFonts w:hint="eastAsia" w:ascii="仿宋_GB2312" w:hAnsi="宋体"/>
                <w:color w:val="000000" w:themeColor="text1"/>
                <w:sz w:val="24"/>
              </w:rPr>
              <w:t>承担主要工作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r>
              <w:rPr>
                <w:rStyle w:val="9"/>
                <w:rFonts w:hint="eastAsia"/>
                <w:color w:val="000000" w:themeColor="text1"/>
                <w:sz w:val="24"/>
                <w:szCs w:val="24"/>
              </w:rPr>
              <w:t>后勤资产运营分公司总经理</w:t>
            </w:r>
          </w:p>
        </w:tc>
        <w:tc>
          <w:tcPr>
            <w:tcW w:w="209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r>
              <w:rPr>
                <w:rFonts w:hint="eastAsia" w:ascii="仿宋_GB2312" w:hAnsi="宋体"/>
                <w:color w:val="000000" w:themeColor="text1"/>
                <w:sz w:val="24"/>
              </w:rPr>
              <w:t>/</w:t>
            </w:r>
          </w:p>
        </w:tc>
        <w:tc>
          <w:tcPr>
            <w:tcW w:w="38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Style w:val="9"/>
                <w:color w:val="000000" w:themeColor="text1"/>
                <w:sz w:val="24"/>
                <w:szCs w:val="24"/>
              </w:rPr>
            </w:pPr>
          </w:p>
          <w:p>
            <w:pPr>
              <w:spacing w:line="300" w:lineRule="exact"/>
              <w:jc w:val="center"/>
              <w:rPr>
                <w:rStyle w:val="9"/>
                <w:color w:val="000000" w:themeColor="text1"/>
                <w:sz w:val="24"/>
                <w:szCs w:val="24"/>
              </w:rPr>
            </w:pPr>
            <w:r>
              <w:rPr>
                <w:rStyle w:val="9"/>
                <w:rFonts w:hint="eastAsia"/>
                <w:color w:val="000000" w:themeColor="text1"/>
                <w:sz w:val="24"/>
                <w:szCs w:val="24"/>
              </w:rPr>
              <w:t>建设单位项目负责人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Style w:val="9"/>
                <w:color w:val="000000" w:themeColor="text1"/>
                <w:szCs w:val="24"/>
              </w:rPr>
            </w:pPr>
            <w:r>
              <w:rPr>
                <w:rStyle w:val="9"/>
                <w:rFonts w:hint="eastAsia"/>
                <w:color w:val="000000" w:themeColor="text1"/>
                <w:sz w:val="24"/>
                <w:szCs w:val="24"/>
              </w:rPr>
              <w:t>总监理工程师</w:t>
            </w:r>
          </w:p>
        </w:tc>
        <w:tc>
          <w:tcPr>
            <w:tcW w:w="209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r>
              <w:rPr>
                <w:rFonts w:hint="eastAsia" w:ascii="仿宋_GB2312" w:hAnsi="宋体"/>
                <w:color w:val="000000" w:themeColor="text1"/>
                <w:sz w:val="24"/>
              </w:rPr>
              <w:t>注册监理工程师</w:t>
            </w:r>
          </w:p>
        </w:tc>
        <w:tc>
          <w:tcPr>
            <w:tcW w:w="38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color w:val="000000" w:themeColor="text1"/>
                <w:sz w:val="24"/>
              </w:rPr>
            </w:pPr>
            <w:r>
              <w:rPr>
                <w:rFonts w:hint="eastAsia" w:ascii="仿宋_GB2312" w:hAnsi="宋体"/>
                <w:color w:val="000000" w:themeColor="text1"/>
                <w:sz w:val="24"/>
              </w:rPr>
              <w:t>监理单位</w:t>
            </w:r>
            <w:r>
              <w:rPr>
                <w:rStyle w:val="9"/>
                <w:rFonts w:hint="eastAsia"/>
                <w:color w:val="000000" w:themeColor="text1"/>
                <w:sz w:val="24"/>
                <w:szCs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color w:val="000000" w:themeColor="text1"/>
                <w:sz w:val="24"/>
                <w:szCs w:val="24"/>
              </w:rPr>
            </w:pP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Style w:val="9"/>
                <w:color w:val="000000" w:themeColor="text1"/>
                <w:sz w:val="24"/>
                <w:szCs w:val="24"/>
              </w:rPr>
            </w:pPr>
            <w:r>
              <w:rPr>
                <w:rStyle w:val="9"/>
                <w:rFonts w:hint="eastAsia"/>
                <w:color w:val="000000" w:themeColor="text1"/>
                <w:sz w:val="24"/>
                <w:szCs w:val="24"/>
                <w:lang w:val="zh-CN"/>
              </w:rPr>
              <w:t>建筑七所所长</w:t>
            </w:r>
          </w:p>
        </w:tc>
        <w:tc>
          <w:tcPr>
            <w:tcW w:w="209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Style w:val="9"/>
                <w:color w:val="000000" w:themeColor="text1"/>
                <w:sz w:val="24"/>
                <w:szCs w:val="24"/>
              </w:rPr>
            </w:pPr>
            <w:r>
              <w:rPr>
                <w:rStyle w:val="9"/>
                <w:rFonts w:hint="eastAsia"/>
                <w:color w:val="000000" w:themeColor="text1"/>
                <w:sz w:val="24"/>
                <w:szCs w:val="24"/>
                <w:lang w:val="zh-CN"/>
              </w:rPr>
              <w:t>高级工程师</w:t>
            </w:r>
          </w:p>
        </w:tc>
        <w:tc>
          <w:tcPr>
            <w:tcW w:w="38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color w:val="000000" w:themeColor="text1"/>
                <w:sz w:val="24"/>
                <w:szCs w:val="24"/>
              </w:rPr>
            </w:pPr>
            <w:r>
              <w:rPr>
                <w:rFonts w:hint="eastAsia" w:ascii="仿宋_GB2312" w:hAnsi="宋体"/>
                <w:color w:val="000000" w:themeColor="text1"/>
                <w:sz w:val="24"/>
              </w:rPr>
              <w:t>设计单位</w:t>
            </w:r>
            <w:r>
              <w:rPr>
                <w:rStyle w:val="9"/>
                <w:rFonts w:hint="eastAsia"/>
                <w:color w:val="000000" w:themeColor="text1"/>
                <w:sz w:val="24"/>
                <w:szCs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color w:val="000000" w:themeColor="text1"/>
                <w:sz w:val="24"/>
                <w:szCs w:val="24"/>
              </w:rPr>
            </w:pP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color w:val="000000" w:themeColor="text1"/>
                <w:sz w:val="24"/>
                <w:szCs w:val="24"/>
              </w:rPr>
            </w:pPr>
            <w:r>
              <w:rPr>
                <w:rFonts w:hint="eastAsia"/>
                <w:color w:val="000000" w:themeColor="text1"/>
                <w:sz w:val="24"/>
                <w:szCs w:val="24"/>
              </w:rPr>
              <w:t>项目经理</w:t>
            </w:r>
          </w:p>
        </w:tc>
        <w:tc>
          <w:tcPr>
            <w:tcW w:w="209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color w:val="000000" w:themeColor="text1"/>
                <w:sz w:val="24"/>
                <w:szCs w:val="24"/>
              </w:rPr>
            </w:pPr>
            <w:r>
              <w:rPr>
                <w:rFonts w:hint="eastAsia"/>
                <w:color w:val="000000" w:themeColor="text1"/>
                <w:sz w:val="24"/>
                <w:szCs w:val="24"/>
              </w:rPr>
              <w:t>工程师</w:t>
            </w:r>
          </w:p>
        </w:tc>
        <w:tc>
          <w:tcPr>
            <w:tcW w:w="38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color w:val="000000" w:themeColor="text1"/>
                <w:sz w:val="24"/>
                <w:szCs w:val="24"/>
              </w:rPr>
            </w:pPr>
            <w:r>
              <w:rPr>
                <w:rFonts w:hint="eastAsia" w:ascii="仿宋_GB2312" w:hAnsi="宋体"/>
                <w:color w:val="000000" w:themeColor="text1"/>
                <w:sz w:val="24"/>
              </w:rPr>
              <w:t>施工单位</w:t>
            </w:r>
            <w:r>
              <w:rPr>
                <w:rStyle w:val="9"/>
                <w:rFonts w:hint="eastAsia"/>
                <w:color w:val="000000" w:themeColor="text1"/>
                <w:sz w:val="24"/>
                <w:szCs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color w:val="000000" w:themeColor="text1"/>
                <w:sz w:val="30"/>
              </w:rPr>
            </w:pPr>
            <w:r>
              <w:rPr>
                <w:rFonts w:hint="eastAsia" w:ascii="黑体" w:hAnsi="黑体" w:eastAsia="黑体"/>
                <w:bCs/>
                <w:color w:val="000000" w:themeColor="text1"/>
                <w:sz w:val="30"/>
                <w:szCs w:val="30"/>
              </w:rPr>
              <w:t>七、项目综合效益分析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1、本项目采用装配式混凝土结构，大部分混凝土构件采用工厂规格化生产后现场吊装拼接，施工速度快，绿色环保。</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2、本项目装配式内隔墙为ALC墙板，ALC 板采用工厂规格化生产，现场装配式安装，可以有效减少现场湿作业，加快施工效率，缩短工期，减少</w:t>
            </w:r>
            <w:bookmarkStart w:id="0" w:name="_GoBack"/>
            <w:bookmarkEnd w:id="0"/>
            <w:r>
              <w:rPr>
                <w:rFonts w:hint="eastAsia" w:ascii="仿宋_GB2312" w:hAnsi="仿宋_GB2312" w:cs="仿宋_GB2312"/>
                <w:color w:val="000000" w:themeColor="text1"/>
                <w:sz w:val="24"/>
                <w:szCs w:val="24"/>
              </w:rPr>
              <w:t xml:space="preserve">环境污染。 </w:t>
            </w:r>
          </w:p>
          <w:p>
            <w:pPr>
              <w:spacing w:line="560" w:lineRule="exact"/>
              <w:ind w:firstLine="480" w:firstLineChars="200"/>
              <w:rPr>
                <w:color w:val="000000" w:themeColor="text1"/>
                <w:sz w:val="30"/>
              </w:rPr>
            </w:pPr>
            <w:r>
              <w:rPr>
                <w:rFonts w:hint="eastAsia" w:ascii="仿宋_GB2312" w:hAnsi="仿宋_GB2312" w:cs="仿宋_GB2312"/>
                <w:color w:val="000000" w:themeColor="text1"/>
                <w:sz w:val="24"/>
                <w:szCs w:val="24"/>
              </w:rPr>
              <w:t>3、通过 BIM 技术的三维空间特性，对复杂结构进行碰撞检查，对关键部位节点进行碰撞检查，有效提高装配式建筑构件生产、施工吊装、工程造价、运维等生命周期的效率与质量。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color w:val="000000" w:themeColor="text1"/>
                <w:sz w:val="30"/>
                <w:szCs w:val="30"/>
              </w:rPr>
            </w:pPr>
            <w:r>
              <w:rPr>
                <w:rFonts w:hint="eastAsia" w:ascii="黑体" w:hAnsi="黑体" w:eastAsia="黑体"/>
                <w:bCs/>
                <w:color w:val="000000" w:themeColor="text1"/>
                <w:sz w:val="30"/>
                <w:szCs w:val="30"/>
              </w:rPr>
              <w:t>八、申报单位意见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4"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color w:val="000000" w:themeColor="text1"/>
                <w:sz w:val="30"/>
              </w:rPr>
            </w:pPr>
            <w:r>
              <w:rPr>
                <w:rFonts w:hint="eastAsia" w:ascii="仿宋_GB2312" w:hAnsi="仿宋_GB2312" w:cs="仿宋_GB2312"/>
                <w:color w:val="000000" w:themeColor="text1"/>
                <w:sz w:val="24"/>
                <w:szCs w:val="20"/>
              </w:rPr>
              <w:t>本项目自评可满足《福建省装配式建筑评价管理办法（试行）》（闽建〔2020〕4号）和《福州市人民政府关于加快发展装配式建筑的实施意见（试行）》榕政综〔2017〕1164号文关于装配式建筑的要求，申请设计阶段认定为装配式建筑。</w:t>
            </w: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ind w:firstLine="6840" w:firstLineChars="2850"/>
              <w:rPr>
                <w:rFonts w:ascii="仿宋_GB2312" w:hAnsi="宋体"/>
                <w:color w:val="000000" w:themeColor="text1"/>
                <w:sz w:val="24"/>
              </w:rPr>
            </w:pPr>
            <w:r>
              <w:rPr>
                <w:rFonts w:hint="eastAsia" w:ascii="仿宋_GB2312" w:hAnsi="宋体"/>
                <w:color w:val="000000" w:themeColor="text1"/>
                <w:sz w:val="24"/>
              </w:rPr>
              <w:t>（盖章）</w:t>
            </w:r>
          </w:p>
          <w:p>
            <w:pPr>
              <w:spacing w:line="560" w:lineRule="exact"/>
              <w:ind w:firstLine="7200" w:firstLineChars="3000"/>
              <w:rPr>
                <w:color w:val="000000" w:themeColor="text1"/>
                <w:sz w:val="30"/>
              </w:rPr>
            </w:pPr>
            <w:r>
              <w:rPr>
                <w:rFonts w:hint="eastAsia" w:ascii="仿宋_GB2312" w:hAnsi="宋体"/>
                <w:color w:val="000000" w:themeColor="text1"/>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color w:val="000000" w:themeColor="text1"/>
                <w:sz w:val="30"/>
                <w:szCs w:val="30"/>
              </w:rPr>
            </w:pPr>
            <w:r>
              <w:rPr>
                <w:rFonts w:hint="eastAsia" w:ascii="黑体" w:hAnsi="黑体" w:eastAsia="黑体"/>
                <w:bCs/>
                <w:color w:val="000000" w:themeColor="text1"/>
                <w:sz w:val="30"/>
                <w:szCs w:val="30"/>
              </w:rPr>
              <w:t>九、专家组意见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2"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与会专家听取了福建省建筑设计研究院有限公司及建设单位对该项目的介绍，经会议研究讨论，形成以下意见：</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(1)该项目预制装配式建筑面积大于总计容建筑面积的50%，符合福州市人民政府文件榕政综〔2017〕1164号文相关规定，且满足国有建设用地使用权出让合同（合同编号：35010020180119G026）相关要求。</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(2)该项目1#物流配送中心装配式建筑设计相关资料完整，其主体结构、围护墙和内隔墙、技术创新部分的分值均不低于最低分值要求，各单体建筑装配率均不低于50%，符合《福建省装配式建筑评价管理办法（试行）》（闽建〔2020〕4号）的相关规定，同意该项目1#物流配送中心设计阶段预评价为装配式建筑。</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 xml:space="preserve">专家名单： </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郑卫基   福建省建筑工程技术中心              教授级高工</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翁锦华   福州市建筑设计院有限责任公司        教授级高工</w:t>
            </w:r>
          </w:p>
          <w:p>
            <w:pPr>
              <w:spacing w:line="560" w:lineRule="exact"/>
              <w:ind w:firstLine="480" w:firstLineChars="200"/>
              <w:rPr>
                <w:rFonts w:ascii="仿宋_GB2312" w:hAnsi="仿宋_GB2312" w:cs="仿宋_GB2312"/>
                <w:color w:val="000000" w:themeColor="text1"/>
                <w:sz w:val="24"/>
                <w:szCs w:val="24"/>
              </w:rPr>
            </w:pPr>
            <w:r>
              <w:rPr>
                <w:rFonts w:hint="eastAsia" w:ascii="仿宋_GB2312" w:hAnsi="仿宋_GB2312" w:cs="仿宋_GB2312"/>
                <w:color w:val="000000" w:themeColor="text1"/>
                <w:sz w:val="24"/>
                <w:szCs w:val="24"/>
              </w:rPr>
              <w:t>林珠清   福建省建筑科学研究院有限责任公司    高工</w:t>
            </w:r>
          </w:p>
          <w:p>
            <w:pPr>
              <w:spacing w:line="560" w:lineRule="exact"/>
              <w:rPr>
                <w:rFonts w:hAnsi="仿宋_GB2312"/>
                <w:color w:val="000000" w:themeColor="text1"/>
                <w:sz w:val="24"/>
                <w:szCs w:val="24"/>
              </w:rPr>
            </w:pPr>
          </w:p>
          <w:p>
            <w:pPr>
              <w:spacing w:line="560" w:lineRule="exact"/>
              <w:rPr>
                <w:rFonts w:hAnsi="仿宋_GB2312"/>
                <w:color w:val="000000" w:themeColor="text1"/>
                <w:sz w:val="24"/>
                <w:szCs w:val="24"/>
              </w:rPr>
            </w:pPr>
          </w:p>
          <w:p>
            <w:pPr>
              <w:wordWrap w:val="0"/>
              <w:spacing w:line="560" w:lineRule="exact"/>
              <w:ind w:right="360"/>
              <w:jc w:val="right"/>
              <w:rPr>
                <w:rFonts w:hint="eastAsia" w:hAnsi="仿宋_GB2312"/>
                <w:color w:val="000000" w:themeColor="text1"/>
                <w:sz w:val="24"/>
                <w:szCs w:val="24"/>
              </w:rPr>
            </w:pPr>
          </w:p>
          <w:p>
            <w:pPr>
              <w:spacing w:line="560" w:lineRule="exact"/>
              <w:ind w:right="360"/>
              <w:jc w:val="right"/>
              <w:rPr>
                <w:rFonts w:hAnsi="仿宋_GB2312"/>
                <w:color w:val="000000" w:themeColor="text1"/>
                <w:sz w:val="24"/>
                <w:szCs w:val="24"/>
              </w:rPr>
            </w:pPr>
          </w:p>
          <w:p>
            <w:pPr>
              <w:wordWrap w:val="0"/>
              <w:spacing w:line="560" w:lineRule="exact"/>
              <w:ind w:right="360"/>
              <w:jc w:val="right"/>
              <w:rPr>
                <w:rFonts w:hAnsi="仿宋_GB2312"/>
                <w:color w:val="000000" w:themeColor="text1"/>
                <w:sz w:val="24"/>
                <w:szCs w:val="24"/>
              </w:rPr>
            </w:pPr>
          </w:p>
          <w:p>
            <w:pPr>
              <w:spacing w:line="560" w:lineRule="exact"/>
              <w:ind w:right="360"/>
              <w:jc w:val="right"/>
              <w:rPr>
                <w:rFonts w:hAnsi="仿宋_GB2312"/>
                <w:color w:val="000000" w:themeColor="text1"/>
                <w:sz w:val="24"/>
                <w:szCs w:val="24"/>
              </w:rPr>
            </w:pPr>
          </w:p>
          <w:p>
            <w:pPr>
              <w:spacing w:line="560" w:lineRule="exact"/>
              <w:ind w:right="360"/>
              <w:jc w:val="right"/>
              <w:rPr>
                <w:rFonts w:hAnsi="仿宋_GB2312"/>
                <w:color w:val="000000" w:themeColor="text1"/>
                <w:sz w:val="24"/>
                <w:szCs w:val="24"/>
              </w:rPr>
            </w:pPr>
          </w:p>
          <w:p>
            <w:pPr>
              <w:spacing w:line="560" w:lineRule="exact"/>
              <w:ind w:right="360"/>
              <w:jc w:val="right"/>
              <w:rPr>
                <w:rFonts w:hAnsi="仿宋_GB2312"/>
                <w:color w:val="000000" w:themeColor="text1"/>
                <w:sz w:val="24"/>
                <w:szCs w:val="24"/>
              </w:rPr>
            </w:pPr>
          </w:p>
          <w:p>
            <w:pPr>
              <w:spacing w:line="560" w:lineRule="exact"/>
              <w:ind w:right="360"/>
              <w:jc w:val="right"/>
              <w:rPr>
                <w:rFonts w:hAnsi="仿宋_GB2312"/>
                <w:color w:val="000000" w:themeColor="text1"/>
                <w:sz w:val="24"/>
                <w:szCs w:val="24"/>
              </w:rPr>
            </w:pPr>
          </w:p>
          <w:p>
            <w:pPr>
              <w:wordWrap w:val="0"/>
              <w:spacing w:line="560" w:lineRule="exact"/>
              <w:ind w:right="360"/>
              <w:jc w:val="right"/>
              <w:rPr>
                <w:rFonts w:hAnsi="仿宋_GB2312"/>
                <w:color w:val="000000" w:themeColor="text1"/>
                <w:sz w:val="24"/>
                <w:szCs w:val="24"/>
              </w:rPr>
            </w:pPr>
            <w:r>
              <w:rPr>
                <w:rFonts w:hint="eastAsia" w:hAnsi="仿宋_GB2312"/>
                <w:color w:val="000000" w:themeColor="text1"/>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color w:val="000000" w:themeColor="text1"/>
                <w:sz w:val="30"/>
                <w:szCs w:val="30"/>
              </w:rPr>
            </w:pPr>
            <w:r>
              <w:rPr>
                <w:rFonts w:hint="eastAsia" w:ascii="黑体" w:hAnsi="黑体" w:eastAsia="黑体"/>
                <w:bCs/>
                <w:color w:val="000000" w:themeColor="text1"/>
                <w:sz w:val="30"/>
                <w:szCs w:val="30"/>
              </w:rPr>
              <w:t>十、设区市住房城乡建设主管部门意见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4"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spacing w:line="560" w:lineRule="exact"/>
              <w:rPr>
                <w:color w:val="000000" w:themeColor="text1"/>
                <w:sz w:val="30"/>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hAnsi="宋体"/>
                <w:color w:val="000000" w:themeColor="text1"/>
                <w:sz w:val="24"/>
              </w:rPr>
            </w:pPr>
          </w:p>
          <w:p>
            <w:pPr>
              <w:ind w:firstLine="7200" w:firstLineChars="3000"/>
              <w:rPr>
                <w:rFonts w:ascii="仿宋_GB2312"/>
                <w:color w:val="000000" w:themeColor="text1"/>
                <w:sz w:val="24"/>
              </w:rPr>
            </w:pPr>
            <w:r>
              <w:rPr>
                <w:rFonts w:hint="eastAsia" w:ascii="仿宋_GB2312" w:hAnsi="宋体"/>
                <w:color w:val="000000" w:themeColor="text1"/>
                <w:sz w:val="24"/>
              </w:rPr>
              <w:t>（盖章）</w:t>
            </w:r>
          </w:p>
          <w:p>
            <w:pPr>
              <w:rPr>
                <w:rFonts w:ascii="仿宋_GB2312"/>
                <w:color w:val="000000" w:themeColor="text1"/>
                <w:sz w:val="24"/>
              </w:rPr>
            </w:pPr>
          </w:p>
          <w:p>
            <w:pPr>
              <w:spacing w:line="560" w:lineRule="exact"/>
              <w:ind w:firstLine="7200" w:firstLineChars="3000"/>
              <w:rPr>
                <w:color w:val="000000" w:themeColor="text1"/>
                <w:sz w:val="30"/>
              </w:rPr>
            </w:pPr>
            <w:r>
              <w:rPr>
                <w:rFonts w:hint="eastAsia" w:ascii="仿宋_GB2312" w:hAnsi="宋体"/>
                <w:color w:val="000000" w:themeColor="text1"/>
                <w:sz w:val="24"/>
              </w:rPr>
              <w:t>年    月    日</w:t>
            </w:r>
          </w:p>
        </w:tc>
      </w:tr>
    </w:tbl>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6</w:t>
                </w:r>
                <w:r>
                  <w:rPr>
                    <w:rStyle w:val="6"/>
                    <w:rFonts w:ascii="宋体" w:hAnsi="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宋体" w:hAns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- 2 -</w:t>
    </w:r>
    <w:r>
      <w:rPr>
        <w:rStyle w:val="6"/>
        <w:rFonts w:ascii="宋体" w:hAnsi="宋体"/>
        <w:sz w:val="28"/>
        <w:szCs w:val="28"/>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C7CC2"/>
    <w:multiLevelType w:val="singleLevel"/>
    <w:tmpl w:val="5FBC7CC2"/>
    <w:lvl w:ilvl="0" w:tentative="0">
      <w:start w:val="2"/>
      <w:numFmt w:val="decimal"/>
      <w:suff w:val="nothing"/>
      <w:lvlText w:val="%1．"/>
      <w:lvlJc w:val="left"/>
    </w:lvl>
  </w:abstractNum>
  <w:abstractNum w:abstractNumId="1">
    <w:nsid w:val="5FBC7E1B"/>
    <w:multiLevelType w:val="singleLevel"/>
    <w:tmpl w:val="5FBC7E1B"/>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A6BE9"/>
    <w:rsid w:val="000B7E94"/>
    <w:rsid w:val="0015375B"/>
    <w:rsid w:val="00172A27"/>
    <w:rsid w:val="002173E0"/>
    <w:rsid w:val="00261CDD"/>
    <w:rsid w:val="0029593F"/>
    <w:rsid w:val="002E5E34"/>
    <w:rsid w:val="003055D4"/>
    <w:rsid w:val="00386110"/>
    <w:rsid w:val="003C4416"/>
    <w:rsid w:val="003D1ED9"/>
    <w:rsid w:val="003D5979"/>
    <w:rsid w:val="00452F56"/>
    <w:rsid w:val="004C6769"/>
    <w:rsid w:val="00525E0B"/>
    <w:rsid w:val="007228A9"/>
    <w:rsid w:val="008338AE"/>
    <w:rsid w:val="00834A01"/>
    <w:rsid w:val="008F4EF1"/>
    <w:rsid w:val="00A41243"/>
    <w:rsid w:val="00A856E2"/>
    <w:rsid w:val="00AA5120"/>
    <w:rsid w:val="00AB35B9"/>
    <w:rsid w:val="00B0773A"/>
    <w:rsid w:val="00B446C3"/>
    <w:rsid w:val="00C32355"/>
    <w:rsid w:val="00C7122F"/>
    <w:rsid w:val="00C8609B"/>
    <w:rsid w:val="00D44D06"/>
    <w:rsid w:val="00D72511"/>
    <w:rsid w:val="00DD4A62"/>
    <w:rsid w:val="00E67AF0"/>
    <w:rsid w:val="00F957AB"/>
    <w:rsid w:val="04072D5D"/>
    <w:rsid w:val="04C701FF"/>
    <w:rsid w:val="055353EF"/>
    <w:rsid w:val="05D102BA"/>
    <w:rsid w:val="07E363FB"/>
    <w:rsid w:val="09A837F7"/>
    <w:rsid w:val="0BE0598C"/>
    <w:rsid w:val="120101AE"/>
    <w:rsid w:val="18A54596"/>
    <w:rsid w:val="1C6A6094"/>
    <w:rsid w:val="1D056876"/>
    <w:rsid w:val="226A6986"/>
    <w:rsid w:val="25F9579A"/>
    <w:rsid w:val="27FE275C"/>
    <w:rsid w:val="2AC16680"/>
    <w:rsid w:val="2AC9146D"/>
    <w:rsid w:val="2D02389F"/>
    <w:rsid w:val="2D8A2CFD"/>
    <w:rsid w:val="305D425A"/>
    <w:rsid w:val="31E82626"/>
    <w:rsid w:val="3AF308E6"/>
    <w:rsid w:val="3BD25551"/>
    <w:rsid w:val="3C0864D4"/>
    <w:rsid w:val="440163F9"/>
    <w:rsid w:val="44CE369D"/>
    <w:rsid w:val="44D76D11"/>
    <w:rsid w:val="456F516C"/>
    <w:rsid w:val="465C34F6"/>
    <w:rsid w:val="4B297386"/>
    <w:rsid w:val="4C6732A0"/>
    <w:rsid w:val="4F4857D6"/>
    <w:rsid w:val="4F75210F"/>
    <w:rsid w:val="511C1A6C"/>
    <w:rsid w:val="52594536"/>
    <w:rsid w:val="54C14066"/>
    <w:rsid w:val="563972CF"/>
    <w:rsid w:val="591C0A7C"/>
    <w:rsid w:val="59E96AEA"/>
    <w:rsid w:val="5B1819E3"/>
    <w:rsid w:val="5BFF4937"/>
    <w:rsid w:val="5C126C0F"/>
    <w:rsid w:val="5EDB03B1"/>
    <w:rsid w:val="5F9C5D87"/>
    <w:rsid w:val="61227BCA"/>
    <w:rsid w:val="62553D30"/>
    <w:rsid w:val="62C66708"/>
    <w:rsid w:val="65951BCB"/>
    <w:rsid w:val="65B47AF2"/>
    <w:rsid w:val="65F72FE2"/>
    <w:rsid w:val="67B410A6"/>
    <w:rsid w:val="67CF3405"/>
    <w:rsid w:val="68AD3638"/>
    <w:rsid w:val="6D56650F"/>
    <w:rsid w:val="70901FCC"/>
    <w:rsid w:val="72724973"/>
    <w:rsid w:val="744850C1"/>
    <w:rsid w:val="7B695BF5"/>
    <w:rsid w:val="7BDD592E"/>
    <w:rsid w:val="7C39672E"/>
    <w:rsid w:val="7E0C14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eastAsia="宋体"/>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Table Paragraph"/>
    <w:basedOn w:val="1"/>
    <w:qFormat/>
    <w:uiPriority w:val="1"/>
  </w:style>
  <w:style w:type="character" w:customStyle="1" w:styleId="8">
    <w:name w:val="页眉 Char"/>
    <w:basedOn w:val="5"/>
    <w:link w:val="3"/>
    <w:qFormat/>
    <w:uiPriority w:val="0"/>
    <w:rPr>
      <w:rFonts w:eastAsia="仿宋_GB2312" w:asciiTheme="minorHAnsi" w:hAnsiTheme="minorHAnsi" w:cstheme="minorBidi"/>
      <w:kern w:val="2"/>
      <w:sz w:val="18"/>
      <w:szCs w:val="18"/>
    </w:rPr>
  </w:style>
  <w:style w:type="character" w:customStyle="1" w:styleId="9">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20A6F8-E585-4E5A-BE63-785FA4883BA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609</Words>
  <Characters>3473</Characters>
  <Lines>28</Lines>
  <Paragraphs>8</Paragraphs>
  <TotalTime>30</TotalTime>
  <ScaleCrop>false</ScaleCrop>
  <LinksUpToDate>false</LinksUpToDate>
  <CharactersWithSpaces>4074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2021-08-20T11:07:00Z</dcterms:created>
  <dc:creator>d3s15</dc:creator>
  <cp:lastModifiedBy>陈弘扬</cp:lastModifiedBy>
  <cp:lastPrinted>2021-12-22T04:22:00Z</cp:lastPrinted>
  <dcterms:modified xsi:type="dcterms:W3CDTF">2022-01-14T07:13:24Z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C1AF22D67FEA4FED994A88F043FE5BF2</vt:lpwstr>
  </property>
</Properties>
</file>