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ind w:firstLine="640" w:firstLineChars="200"/>
        <w:jc w:val="center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“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融湾·澜玥</w:t>
      </w:r>
      <w:r>
        <w:rPr>
          <w:rFonts w:hint="eastAsia" w:ascii="黑体" w:hAnsi="黑体" w:eastAsia="黑体"/>
          <w:bCs/>
          <w:sz w:val="32"/>
          <w:szCs w:val="32"/>
        </w:rPr>
        <w:t>”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项目</w:t>
      </w:r>
    </w:p>
    <w:p>
      <w:pPr>
        <w:snapToGrid w:val="0"/>
        <w:spacing w:line="400" w:lineRule="exact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装配式</w:t>
      </w:r>
      <w:r>
        <w:rPr>
          <w:rFonts w:hint="eastAsia" w:ascii="黑体" w:hAnsi="黑体" w:eastAsia="黑体"/>
          <w:bCs/>
          <w:sz w:val="32"/>
          <w:szCs w:val="32"/>
        </w:rPr>
        <w:t>建筑设计阶段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预评价</w:t>
      </w:r>
      <w:r>
        <w:rPr>
          <w:rFonts w:hint="eastAsia" w:ascii="黑体" w:hAnsi="黑体" w:eastAsia="黑体"/>
          <w:bCs/>
          <w:sz w:val="32"/>
          <w:szCs w:val="32"/>
        </w:rPr>
        <w:t>专家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评审</w:t>
      </w:r>
      <w:r>
        <w:rPr>
          <w:rFonts w:hint="eastAsia" w:ascii="黑体" w:hAnsi="黑体" w:eastAsia="黑体"/>
          <w:bCs/>
          <w:sz w:val="32"/>
          <w:szCs w:val="32"/>
        </w:rPr>
        <w:t>意见</w:t>
      </w:r>
    </w:p>
    <w:p>
      <w:pPr>
        <w:snapToGrid w:val="0"/>
        <w:spacing w:line="400" w:lineRule="exact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</w:p>
    <w:p>
      <w:pPr>
        <w:snapToGrid w:val="0"/>
        <w:spacing w:line="360" w:lineRule="auto"/>
        <w:ind w:firstLine="560" w:firstLineChars="200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20</w:t>
      </w:r>
      <w:r>
        <w:rPr>
          <w:rFonts w:ascii="仿宋_GB2312" w:hAnsi="宋体"/>
          <w:bCs/>
          <w:sz w:val="28"/>
          <w:szCs w:val="28"/>
        </w:rPr>
        <w:t>2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>年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仿宋_GB2312" w:hAnsi="宋体"/>
          <w:bCs/>
          <w:sz w:val="28"/>
          <w:szCs w:val="28"/>
        </w:rPr>
        <w:t>日，福州融湾置业有限公司在福州市组织召开“</w:t>
      </w:r>
      <w:r>
        <w:rPr>
          <w:rFonts w:hint="eastAsia" w:ascii="仿宋_GB2312" w:hAnsi="宋体"/>
          <w:bCs/>
          <w:sz w:val="28"/>
          <w:szCs w:val="28"/>
          <w:lang w:eastAsia="zh-CN"/>
        </w:rPr>
        <w:t>融湾·澜玥</w:t>
      </w:r>
      <w:r>
        <w:rPr>
          <w:rFonts w:hint="eastAsia" w:ascii="仿宋_GB2312" w:hAnsi="宋体"/>
          <w:bCs/>
          <w:sz w:val="28"/>
          <w:szCs w:val="28"/>
        </w:rPr>
        <w:t>”项目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装配式</w:t>
      </w:r>
      <w:r>
        <w:rPr>
          <w:rFonts w:hint="eastAsia" w:ascii="仿宋_GB2312" w:hAnsi="宋体"/>
          <w:bCs/>
          <w:sz w:val="28"/>
          <w:szCs w:val="28"/>
        </w:rPr>
        <w:t>建筑设计阶段</w:t>
      </w:r>
      <w:r>
        <w:rPr>
          <w:rFonts w:hint="eastAsia" w:ascii="仿宋_GB2312" w:hAnsi="宋体"/>
          <w:bCs/>
          <w:sz w:val="28"/>
          <w:szCs w:val="28"/>
          <w:lang w:eastAsia="zh-CN"/>
        </w:rPr>
        <w:t>预评价</w:t>
      </w:r>
      <w:r>
        <w:rPr>
          <w:rFonts w:hint="eastAsia" w:ascii="仿宋_GB2312" w:hAnsi="宋体"/>
          <w:bCs/>
          <w:sz w:val="28"/>
          <w:szCs w:val="28"/>
        </w:rPr>
        <w:t>专家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评审</w:t>
      </w:r>
      <w:r>
        <w:rPr>
          <w:rFonts w:hint="eastAsia" w:ascii="仿宋_GB2312" w:hAnsi="宋体"/>
          <w:bCs/>
          <w:sz w:val="28"/>
          <w:szCs w:val="28"/>
        </w:rPr>
        <w:t>会，会议由福州融湾置业有限公司主持，设计单位、评审专家、图审单位参加了会议。</w:t>
      </w:r>
    </w:p>
    <w:p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工程简况如下：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该</w:t>
      </w:r>
      <w:r>
        <w:rPr>
          <w:rFonts w:hint="eastAsia" w:ascii="仿宋_GB2312" w:hAnsi="宋体"/>
          <w:bCs/>
          <w:sz w:val="28"/>
          <w:szCs w:val="28"/>
        </w:rPr>
        <w:t>项目位于福州市鼓楼区鼓东街道温泉路西侧。总建筑面积为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48925.09</w:t>
      </w:r>
      <w:r>
        <w:rPr>
          <w:rFonts w:hint="eastAsia" w:ascii="仿宋_GB2312" w:hAnsi="宋体"/>
          <w:bCs/>
          <w:sz w:val="28"/>
          <w:szCs w:val="28"/>
        </w:rPr>
        <w:t>㎡</w:t>
      </w:r>
      <w:r>
        <w:rPr>
          <w:rFonts w:hint="eastAsia" w:ascii="仿宋_GB2312" w:hAnsi="宋体"/>
          <w:bCs/>
          <w:sz w:val="28"/>
          <w:szCs w:val="28"/>
          <w:lang w:eastAsia="zh-CN"/>
        </w:rPr>
        <w:t>，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总计容面积33303.40</w:t>
      </w:r>
      <w:r>
        <w:rPr>
          <w:rFonts w:hint="eastAsia" w:ascii="仿宋_GB2312" w:hAnsi="宋体"/>
          <w:bCs/>
          <w:sz w:val="28"/>
          <w:szCs w:val="28"/>
        </w:rPr>
        <w:t>㎡。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由3栋住宅楼，1栋商务办公楼，1栋配套和2层地下室</w:t>
      </w:r>
      <w:r>
        <w:rPr>
          <w:rFonts w:hint="eastAsia" w:ascii="仿宋_GB2312" w:hAnsi="宋体"/>
          <w:bCs/>
          <w:sz w:val="28"/>
          <w:szCs w:val="28"/>
        </w:rPr>
        <w:t>组成。其中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3#楼、5#楼</w:t>
      </w:r>
      <w:r>
        <w:rPr>
          <w:rFonts w:hint="eastAsia" w:ascii="仿宋_GB2312" w:hAnsi="宋体"/>
          <w:bCs/>
          <w:sz w:val="28"/>
          <w:szCs w:val="28"/>
        </w:rPr>
        <w:t>上部结构采用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预制装配式混凝土结构</w:t>
      </w:r>
      <w:r>
        <w:rPr>
          <w:rFonts w:hint="eastAsia" w:ascii="仿宋_GB2312" w:hAnsi="宋体"/>
          <w:bCs/>
          <w:sz w:val="28"/>
          <w:szCs w:val="28"/>
        </w:rPr>
        <w:t>，装配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式楼栋建筑计容</w:t>
      </w:r>
      <w:r>
        <w:rPr>
          <w:rFonts w:hint="eastAsia" w:ascii="仿宋_GB2312" w:hAnsi="宋体"/>
          <w:bCs/>
          <w:sz w:val="28"/>
          <w:szCs w:val="28"/>
        </w:rPr>
        <w:t>面积：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19588.5</w:t>
      </w:r>
      <w:r>
        <w:rPr>
          <w:rFonts w:hint="eastAsia" w:ascii="仿宋_GB2312" w:hAnsi="宋体"/>
          <w:bCs/>
          <w:sz w:val="28"/>
          <w:szCs w:val="28"/>
        </w:rPr>
        <w:t>㎡ ，占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总</w:t>
      </w:r>
      <w:r>
        <w:rPr>
          <w:rFonts w:hint="eastAsia" w:ascii="仿宋_GB2312" w:hAnsi="宋体"/>
          <w:bCs/>
          <w:sz w:val="28"/>
          <w:szCs w:val="28"/>
        </w:rPr>
        <w:t>建筑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计容</w:t>
      </w:r>
      <w:r>
        <w:rPr>
          <w:rFonts w:hint="eastAsia" w:ascii="仿宋_GB2312" w:hAnsi="宋体"/>
          <w:bCs/>
          <w:sz w:val="28"/>
          <w:szCs w:val="28"/>
        </w:rPr>
        <w:t>面积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58.8</w:t>
      </w:r>
      <w:r>
        <w:rPr>
          <w:rFonts w:hint="eastAsia" w:ascii="仿宋_GB2312" w:hAnsi="宋体"/>
          <w:bCs/>
          <w:sz w:val="28"/>
          <w:szCs w:val="28"/>
        </w:rPr>
        <w:t>%；装配式预制构件采用预制叠合楼板</w:t>
      </w:r>
      <w:r>
        <w:rPr>
          <w:rFonts w:hint="eastAsia" w:ascii="仿宋_GB2312" w:hAnsi="宋体"/>
          <w:bCs/>
          <w:sz w:val="28"/>
          <w:szCs w:val="28"/>
          <w:lang w:eastAsia="zh-CN"/>
        </w:rPr>
        <w:t>、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预制楼梯、预制内隔墙</w:t>
      </w:r>
      <w:r>
        <w:rPr>
          <w:rFonts w:hint="eastAsia" w:ascii="仿宋_GB2312" w:hAnsi="宋体"/>
          <w:bCs/>
          <w:sz w:val="28"/>
          <w:szCs w:val="28"/>
        </w:rPr>
        <w:t>。</w:t>
      </w:r>
    </w:p>
    <w:p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  <w:lang w:eastAsia="zh-CN"/>
        </w:rPr>
        <w:t>该项目装配式建筑设计</w:t>
      </w:r>
      <w:r>
        <w:rPr>
          <w:rFonts w:hint="eastAsia" w:ascii="仿宋_GB2312" w:hAnsi="宋体"/>
          <w:bCs/>
          <w:sz w:val="28"/>
          <w:szCs w:val="28"/>
        </w:rPr>
        <w:t>满足福州市人民政府文件榕政综〔2017〕1164号文</w:t>
      </w:r>
      <w:r>
        <w:rPr>
          <w:rFonts w:hint="eastAsia" w:ascii="仿宋_GB2312" w:hAnsi="宋体"/>
          <w:bCs/>
          <w:sz w:val="28"/>
          <w:szCs w:val="28"/>
          <w:lang w:eastAsia="zh-CN"/>
        </w:rPr>
        <w:t>的相关要求</w:t>
      </w:r>
      <w:r>
        <w:rPr>
          <w:rFonts w:hint="eastAsia" w:ascii="仿宋_GB2312" w:hAnsi="宋体"/>
          <w:bCs/>
          <w:sz w:val="28"/>
          <w:szCs w:val="28"/>
        </w:rPr>
        <w:t>；建筑单体装配率均≥50%,满足《福建省装配式建筑评价管理办法（试行）》（闽建〔2020〕4号）的相关</w:t>
      </w:r>
      <w:r>
        <w:rPr>
          <w:rFonts w:hint="eastAsia" w:ascii="仿宋_GB2312" w:hAnsi="宋体"/>
          <w:bCs/>
          <w:sz w:val="28"/>
          <w:szCs w:val="28"/>
          <w:lang w:eastAsia="zh-CN"/>
        </w:rPr>
        <w:t>要求</w:t>
      </w:r>
      <w:r>
        <w:rPr>
          <w:rFonts w:hint="eastAsia" w:ascii="仿宋_GB2312" w:hAnsi="宋体"/>
          <w:bCs/>
          <w:sz w:val="28"/>
          <w:szCs w:val="28"/>
        </w:rPr>
        <w:t>。</w:t>
      </w:r>
    </w:p>
    <w:p>
      <w:pPr>
        <w:spacing w:line="490" w:lineRule="exact"/>
        <w:ind w:firstLine="560" w:firstLineChars="200"/>
        <w:jc w:val="left"/>
        <w:rPr>
          <w:rFonts w:ascii="仿宋_GB2312" w:hAnsi="宋体"/>
          <w:bCs/>
          <w:color w:val="000000"/>
          <w:sz w:val="28"/>
          <w:szCs w:val="28"/>
        </w:rPr>
      </w:pPr>
      <w:r>
        <w:rPr>
          <w:rFonts w:hint="eastAsia" w:ascii="仿宋_GB2312" w:hAnsi="宋体"/>
          <w:bCs/>
          <w:color w:val="000000"/>
          <w:sz w:val="28"/>
          <w:szCs w:val="28"/>
        </w:rPr>
        <w:t>各单体</w:t>
      </w:r>
      <w:r>
        <w:rPr>
          <w:rFonts w:hint="eastAsia" w:ascii="仿宋_GB2312" w:hAnsi="宋体" w:eastAsia="仿宋_GB2312"/>
          <w:bCs/>
          <w:sz w:val="28"/>
          <w:szCs w:val="28"/>
        </w:rPr>
        <w:t>建筑</w:t>
      </w:r>
      <w:r>
        <w:rPr>
          <w:rFonts w:hint="eastAsia" w:ascii="仿宋_GB2312" w:hAnsi="宋体"/>
          <w:bCs/>
          <w:color w:val="000000"/>
          <w:sz w:val="28"/>
          <w:szCs w:val="28"/>
        </w:rPr>
        <w:t>预制装配内容及装配率详下表：</w:t>
      </w:r>
    </w:p>
    <w:tbl>
      <w:tblPr>
        <w:tblStyle w:val="7"/>
        <w:tblW w:w="86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3694"/>
        <w:gridCol w:w="2067"/>
        <w:gridCol w:w="18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评价项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2#</w:t>
            </w:r>
            <w:r>
              <w:rPr>
                <w:rFonts w:hint="eastAsia" w:ascii="仿宋_GB2312" w:hAnsi="宋体" w:eastAsia="仿宋"/>
                <w:bCs/>
                <w:sz w:val="28"/>
                <w:szCs w:val="28"/>
                <w:lang w:eastAsia="zh-CN"/>
              </w:rPr>
              <w:t>楼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5#</w:t>
            </w:r>
            <w:r>
              <w:rPr>
                <w:rFonts w:hint="eastAsia" w:ascii="仿宋_GB2312" w:hAnsi="宋体" w:eastAsia="仿宋"/>
                <w:bCs/>
                <w:sz w:val="28"/>
                <w:szCs w:val="28"/>
                <w:lang w:eastAsia="zh-CN"/>
              </w:rPr>
              <w:t>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主体结构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水平构件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30.1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30.1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装配式建筑设计标准化、模数化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-2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部品部件通用化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围护墙和内隔墙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内隔墙非砌筑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装修和设备管线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技术创新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设计阶段BIM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施工阶段BIM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可追溯系统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总计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50.1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装配率（%）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50%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%</w:t>
            </w:r>
          </w:p>
        </w:tc>
      </w:tr>
    </w:tbl>
    <w:p>
      <w:pPr>
        <w:widowControl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  <w:lang w:eastAsia="zh-CN"/>
        </w:rPr>
        <w:t>该</w:t>
      </w:r>
      <w:r>
        <w:rPr>
          <w:rFonts w:hint="eastAsia" w:ascii="仿宋_GB2312" w:hAnsi="宋体"/>
          <w:bCs/>
          <w:sz w:val="28"/>
          <w:szCs w:val="28"/>
        </w:rPr>
        <w:t>工程施工图设计文件于2021年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06</w:t>
      </w:r>
      <w:r>
        <w:rPr>
          <w:rFonts w:hint="eastAsia" w:ascii="仿宋_GB2312" w:hAnsi="宋体"/>
          <w:bCs/>
          <w:sz w:val="28"/>
          <w:szCs w:val="28"/>
        </w:rPr>
        <w:t>日通过审查。</w:t>
      </w:r>
    </w:p>
    <w:p>
      <w:pPr>
        <w:widowControl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审查机构：福州建功施工图审查有限公司</w:t>
      </w:r>
    </w:p>
    <w:p>
      <w:pPr>
        <w:widowControl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审查合格书编号：3501022005110103-TX-004</w:t>
      </w:r>
    </w:p>
    <w:p>
      <w:pPr>
        <w:widowControl/>
        <w:ind w:firstLine="560" w:firstLineChars="200"/>
        <w:jc w:val="left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与会专家听取了福建福大建筑</w:t>
      </w:r>
      <w:r>
        <w:rPr>
          <w:rFonts w:hint="eastAsia" w:ascii="仿宋_GB2312" w:hAnsi="宋体"/>
          <w:bCs/>
          <w:sz w:val="28"/>
          <w:szCs w:val="28"/>
          <w:lang w:eastAsia="zh-CN"/>
        </w:rPr>
        <w:t>规划</w:t>
      </w:r>
      <w:r>
        <w:rPr>
          <w:rFonts w:hint="eastAsia" w:ascii="仿宋_GB2312" w:hAnsi="宋体"/>
          <w:bCs/>
          <w:sz w:val="28"/>
          <w:szCs w:val="28"/>
        </w:rPr>
        <w:t>设计</w:t>
      </w:r>
      <w:r>
        <w:rPr>
          <w:rFonts w:hint="eastAsia" w:ascii="仿宋_GB2312" w:hAnsi="宋体"/>
          <w:bCs/>
          <w:sz w:val="28"/>
          <w:szCs w:val="28"/>
          <w:lang w:eastAsia="zh-CN"/>
        </w:rPr>
        <w:t>研究院</w:t>
      </w:r>
      <w:r>
        <w:rPr>
          <w:rFonts w:hint="eastAsia" w:ascii="仿宋_GB2312" w:hAnsi="宋体"/>
          <w:bCs/>
          <w:sz w:val="28"/>
          <w:szCs w:val="28"/>
        </w:rPr>
        <w:t>有限公司及建设单位对该工程的介绍，经会议研究讨论，形成以下意见：</w:t>
      </w: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(1) 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 w:eastAsia="仿宋_GB2312"/>
          <w:bCs/>
          <w:sz w:val="28"/>
          <w:szCs w:val="28"/>
        </w:rPr>
        <w:t>预制装配式建筑面积大于总计容建筑面积的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50</w:t>
      </w:r>
      <w:r>
        <w:rPr>
          <w:rFonts w:hint="eastAsia" w:ascii="仿宋_GB2312" w:hAnsi="宋体" w:eastAsia="仿宋_GB2312"/>
          <w:bCs/>
          <w:sz w:val="28"/>
          <w:szCs w:val="28"/>
        </w:rPr>
        <w:t>%，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符合</w:t>
      </w:r>
      <w:r>
        <w:rPr>
          <w:rFonts w:hint="eastAsia" w:ascii="仿宋_GB2312" w:hAnsi="宋体" w:eastAsia="仿宋_GB2312"/>
          <w:bCs/>
          <w:sz w:val="28"/>
          <w:szCs w:val="28"/>
        </w:rPr>
        <w:t>福州市人民政府文件榕政综〔2017〕1164号文相关规定。</w:t>
      </w:r>
    </w:p>
    <w:p>
      <w:pPr>
        <w:spacing w:line="50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(2) 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宋体"/>
          <w:bCs/>
          <w:sz w:val="28"/>
          <w:szCs w:val="28"/>
        </w:rPr>
        <w:t>#楼、5#楼</w:t>
      </w:r>
      <w:r>
        <w:rPr>
          <w:rFonts w:hint="eastAsia" w:ascii="仿宋_GB2312" w:hAnsi="宋体" w:eastAsia="仿宋_GB2312"/>
          <w:bCs/>
          <w:sz w:val="28"/>
          <w:szCs w:val="28"/>
        </w:rPr>
        <w:t>装配式建筑设计相关资料完整，其主体结构、围护墙和内隔墙、技术创新部分的分值均不低于最低分值要求，各单体建筑装配率均不低于50%，符合《福建省装配式建筑评价管理办法（试行）》（</w:t>
      </w:r>
      <w:r>
        <w:rPr>
          <w:rFonts w:ascii="仿宋_GB2312" w:hAnsi="宋体" w:eastAsia="仿宋_GB2312"/>
          <w:bCs/>
          <w:sz w:val="28"/>
          <w:szCs w:val="28"/>
        </w:rPr>
        <w:t>闽建〔2020〕4号</w:t>
      </w:r>
      <w:r>
        <w:rPr>
          <w:rFonts w:hint="eastAsia" w:ascii="仿宋_GB2312" w:hAnsi="宋体" w:eastAsia="仿宋_GB2312"/>
          <w:bCs/>
          <w:sz w:val="28"/>
          <w:szCs w:val="28"/>
        </w:rPr>
        <w:t>）的相关规定，同意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宋体"/>
          <w:bCs/>
          <w:sz w:val="28"/>
          <w:szCs w:val="28"/>
        </w:rPr>
        <w:t>#楼、5#楼</w:t>
      </w:r>
      <w:r>
        <w:rPr>
          <w:rFonts w:hint="eastAsia" w:ascii="仿宋_GB2312" w:hAnsi="宋体" w:eastAsia="仿宋_GB2312"/>
          <w:bCs/>
          <w:sz w:val="28"/>
          <w:szCs w:val="28"/>
        </w:rPr>
        <w:t>设计阶段</w:t>
      </w:r>
      <w:r>
        <w:rPr>
          <w:rFonts w:hint="eastAsia" w:ascii="仿宋_GB2312" w:hAnsi="宋体"/>
          <w:bCs/>
          <w:sz w:val="28"/>
          <w:szCs w:val="28"/>
          <w:lang w:eastAsia="zh-CN"/>
        </w:rPr>
        <w:t>预</w:t>
      </w:r>
      <w:r>
        <w:rPr>
          <w:rFonts w:hint="eastAsia" w:ascii="仿宋_GB2312" w:hAnsi="宋体" w:eastAsia="仿宋_GB2312"/>
          <w:bCs/>
          <w:sz w:val="28"/>
          <w:szCs w:val="28"/>
        </w:rPr>
        <w:t>评价为装配式建筑。</w:t>
      </w:r>
    </w:p>
    <w:p>
      <w:pPr>
        <w:spacing w:line="500" w:lineRule="exact"/>
        <w:ind w:firstLine="560" w:firstLineChars="200"/>
        <w:rPr>
          <w:rFonts w:hint="eastAsia" w:ascii="仿宋_GB2312" w:hAnsi="宋体"/>
          <w:bCs/>
          <w:sz w:val="28"/>
          <w:szCs w:val="28"/>
        </w:rPr>
      </w:pPr>
    </w:p>
    <w:p>
      <w:pPr>
        <w:spacing w:line="500" w:lineRule="exact"/>
        <w:rPr>
          <w:rFonts w:hint="eastAsia" w:ascii="仿宋_GB2312" w:hAnsi="宋体"/>
          <w:bCs/>
          <w:sz w:val="28"/>
          <w:szCs w:val="28"/>
          <w:lang w:val="en-US" w:eastAsia="zh-CN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</w:t>
      </w:r>
    </w:p>
    <w:p>
      <w:pPr>
        <w:spacing w:line="500" w:lineRule="exact"/>
        <w:rPr>
          <w:rFonts w:hint="eastAsia" w:ascii="仿宋_GB2312" w:hAnsi="宋体"/>
          <w:bCs/>
          <w:sz w:val="28"/>
          <w:szCs w:val="28"/>
        </w:rPr>
      </w:pPr>
    </w:p>
    <w:p>
      <w:pPr>
        <w:spacing w:line="400" w:lineRule="exact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专家名单：</w:t>
      </w:r>
    </w:p>
    <w:p>
      <w:pPr>
        <w:spacing w:line="400" w:lineRule="exact"/>
        <w:rPr>
          <w:rFonts w:hint="eastAsia" w:ascii="仿宋_GB2312" w:hAnsi="宋体"/>
          <w:bCs/>
          <w:sz w:val="32"/>
          <w:szCs w:val="32"/>
        </w:rPr>
      </w:pPr>
      <w:r>
        <w:rPr>
          <w:rFonts w:hint="eastAsia" w:ascii="仿宋_GB2312" w:hAnsi="宋体"/>
          <w:bCs/>
          <w:sz w:val="32"/>
          <w:szCs w:val="32"/>
        </w:rPr>
        <w:t xml:space="preserve"> 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夏  昌 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宋体"/>
          <w:bCs/>
          <w:sz w:val="28"/>
          <w:szCs w:val="28"/>
        </w:rPr>
        <w:t>福州市规划设计研究院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集团有限公司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spacing w:line="400" w:lineRule="exact"/>
        <w:rPr>
          <w:rFonts w:ascii="仿宋_GB2312" w:hAnsi="宋体"/>
          <w:bCs/>
          <w:sz w:val="32"/>
          <w:szCs w:val="32"/>
        </w:rPr>
      </w:pPr>
      <w:r>
        <w:rPr>
          <w:rFonts w:hint="eastAsia" w:ascii="仿宋_GB2312" w:hAnsi="宋体"/>
          <w:bCs/>
          <w:sz w:val="32"/>
          <w:szCs w:val="32"/>
        </w:rPr>
        <w:t xml:space="preserve"> 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 xml:space="preserve">胡贤忠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/>
          <w:bCs/>
          <w:sz w:val="28"/>
          <w:szCs w:val="28"/>
        </w:rPr>
        <w:t xml:space="preserve">福州国伟建设设计有限公司         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left"/>
        <w:rPr>
          <w:rFonts w:hint="default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罗贤亮 </w:t>
      </w:r>
      <w:r>
        <w:rPr>
          <w:rFonts w:hint="eastAsia" w:ascii="仿宋_GB2312" w:hAnsi="宋体"/>
          <w:bCs/>
          <w:sz w:val="28"/>
          <w:szCs w:val="28"/>
        </w:rPr>
        <w:t xml:space="preserve">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hint="eastAsia" w:ascii="仿宋_GB2312" w:hAnsi="宋体"/>
          <w:bCs/>
          <w:sz w:val="28"/>
          <w:szCs w:val="28"/>
        </w:rPr>
        <w:t xml:space="preserve">中建海峡建筑发展有限公司         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    高级工程师</w:t>
      </w:r>
    </w:p>
    <w:p>
      <w:pPr>
        <w:widowControl/>
        <w:spacing w:line="400" w:lineRule="exact"/>
        <w:jc w:val="left"/>
        <w:rPr>
          <w:rFonts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right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202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 xml:space="preserve">年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12</w:t>
      </w:r>
      <w:r>
        <w:rPr>
          <w:rFonts w:hint="eastAsia" w:ascii="仿宋_GB2312" w:hAnsi="宋体"/>
          <w:bCs/>
          <w:sz w:val="28"/>
          <w:szCs w:val="28"/>
        </w:rPr>
        <w:t xml:space="preserve">月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13</w:t>
      </w:r>
      <w:r>
        <w:rPr>
          <w:rFonts w:hint="eastAsia" w:ascii="仿宋_GB2312" w:hAnsi="宋体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F1"/>
    <w:rsid w:val="00001B22"/>
    <w:rsid w:val="00010964"/>
    <w:rsid w:val="00031127"/>
    <w:rsid w:val="0004477B"/>
    <w:rsid w:val="00047EB2"/>
    <w:rsid w:val="0007069E"/>
    <w:rsid w:val="00077D10"/>
    <w:rsid w:val="000C53E0"/>
    <w:rsid w:val="000D1E2F"/>
    <w:rsid w:val="000E2C82"/>
    <w:rsid w:val="0010062D"/>
    <w:rsid w:val="00102AA7"/>
    <w:rsid w:val="001033B3"/>
    <w:rsid w:val="0010602A"/>
    <w:rsid w:val="00126E41"/>
    <w:rsid w:val="00132E0C"/>
    <w:rsid w:val="0014787D"/>
    <w:rsid w:val="00155AEC"/>
    <w:rsid w:val="0017310D"/>
    <w:rsid w:val="00194C1F"/>
    <w:rsid w:val="001A26A8"/>
    <w:rsid w:val="001E26E0"/>
    <w:rsid w:val="001F36AF"/>
    <w:rsid w:val="001F6650"/>
    <w:rsid w:val="00201A39"/>
    <w:rsid w:val="0022541A"/>
    <w:rsid w:val="002276C6"/>
    <w:rsid w:val="002564A1"/>
    <w:rsid w:val="0027394F"/>
    <w:rsid w:val="00273F12"/>
    <w:rsid w:val="00275F6B"/>
    <w:rsid w:val="00287B60"/>
    <w:rsid w:val="00297BAF"/>
    <w:rsid w:val="002E4E94"/>
    <w:rsid w:val="002F1876"/>
    <w:rsid w:val="00336B4A"/>
    <w:rsid w:val="0034220A"/>
    <w:rsid w:val="00356579"/>
    <w:rsid w:val="00374709"/>
    <w:rsid w:val="00386DC6"/>
    <w:rsid w:val="00395FE2"/>
    <w:rsid w:val="003B19E1"/>
    <w:rsid w:val="003C3DA3"/>
    <w:rsid w:val="003C5583"/>
    <w:rsid w:val="003C6E11"/>
    <w:rsid w:val="003F1080"/>
    <w:rsid w:val="003F29B4"/>
    <w:rsid w:val="003F2F97"/>
    <w:rsid w:val="00401717"/>
    <w:rsid w:val="00401DC9"/>
    <w:rsid w:val="00405489"/>
    <w:rsid w:val="004134B0"/>
    <w:rsid w:val="00421F82"/>
    <w:rsid w:val="004304B9"/>
    <w:rsid w:val="00452851"/>
    <w:rsid w:val="00453EDC"/>
    <w:rsid w:val="00454C02"/>
    <w:rsid w:val="00470502"/>
    <w:rsid w:val="00470F87"/>
    <w:rsid w:val="00472922"/>
    <w:rsid w:val="00472DE0"/>
    <w:rsid w:val="00473323"/>
    <w:rsid w:val="00497AC5"/>
    <w:rsid w:val="004B0A0F"/>
    <w:rsid w:val="004C1189"/>
    <w:rsid w:val="004C145D"/>
    <w:rsid w:val="004C7C3B"/>
    <w:rsid w:val="004D1935"/>
    <w:rsid w:val="004D662F"/>
    <w:rsid w:val="004E0F00"/>
    <w:rsid w:val="00501F00"/>
    <w:rsid w:val="005032F7"/>
    <w:rsid w:val="00542F98"/>
    <w:rsid w:val="00552FBD"/>
    <w:rsid w:val="00563A20"/>
    <w:rsid w:val="0057016E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F3EE5"/>
    <w:rsid w:val="006207BF"/>
    <w:rsid w:val="00637807"/>
    <w:rsid w:val="006700FC"/>
    <w:rsid w:val="00672469"/>
    <w:rsid w:val="00683C5D"/>
    <w:rsid w:val="0068684D"/>
    <w:rsid w:val="006917C5"/>
    <w:rsid w:val="0069432D"/>
    <w:rsid w:val="006A2D8E"/>
    <w:rsid w:val="006C4E91"/>
    <w:rsid w:val="006E47B5"/>
    <w:rsid w:val="006E5018"/>
    <w:rsid w:val="006E72C0"/>
    <w:rsid w:val="006F2BFA"/>
    <w:rsid w:val="00715D01"/>
    <w:rsid w:val="00716E46"/>
    <w:rsid w:val="00720B01"/>
    <w:rsid w:val="007244D2"/>
    <w:rsid w:val="00742108"/>
    <w:rsid w:val="0075237D"/>
    <w:rsid w:val="0076048A"/>
    <w:rsid w:val="00764349"/>
    <w:rsid w:val="007667C3"/>
    <w:rsid w:val="007877E5"/>
    <w:rsid w:val="007A05AE"/>
    <w:rsid w:val="007A71D3"/>
    <w:rsid w:val="007B001B"/>
    <w:rsid w:val="007B01C4"/>
    <w:rsid w:val="007B100A"/>
    <w:rsid w:val="007C0C62"/>
    <w:rsid w:val="007C1C4B"/>
    <w:rsid w:val="007C5C37"/>
    <w:rsid w:val="007C5D22"/>
    <w:rsid w:val="007D542A"/>
    <w:rsid w:val="007F3ADF"/>
    <w:rsid w:val="007F43ED"/>
    <w:rsid w:val="007F7AD2"/>
    <w:rsid w:val="007F7F01"/>
    <w:rsid w:val="008118BB"/>
    <w:rsid w:val="00835B9B"/>
    <w:rsid w:val="00835E6E"/>
    <w:rsid w:val="008450DA"/>
    <w:rsid w:val="008453FD"/>
    <w:rsid w:val="00881ECF"/>
    <w:rsid w:val="00892760"/>
    <w:rsid w:val="008967C8"/>
    <w:rsid w:val="008A37D0"/>
    <w:rsid w:val="008A5380"/>
    <w:rsid w:val="008C0A7F"/>
    <w:rsid w:val="008C33B9"/>
    <w:rsid w:val="008C6CDB"/>
    <w:rsid w:val="008D0CE4"/>
    <w:rsid w:val="008E68D6"/>
    <w:rsid w:val="008E7AA0"/>
    <w:rsid w:val="008F443E"/>
    <w:rsid w:val="008F4FA7"/>
    <w:rsid w:val="00977FE9"/>
    <w:rsid w:val="00980F98"/>
    <w:rsid w:val="00996017"/>
    <w:rsid w:val="009A20FD"/>
    <w:rsid w:val="009A7786"/>
    <w:rsid w:val="009B0975"/>
    <w:rsid w:val="009B5AEA"/>
    <w:rsid w:val="009C1334"/>
    <w:rsid w:val="009D0729"/>
    <w:rsid w:val="009D74D2"/>
    <w:rsid w:val="009E3C0B"/>
    <w:rsid w:val="009F042F"/>
    <w:rsid w:val="009F3F01"/>
    <w:rsid w:val="00A06890"/>
    <w:rsid w:val="00A127BF"/>
    <w:rsid w:val="00A328CF"/>
    <w:rsid w:val="00A3431B"/>
    <w:rsid w:val="00A407C8"/>
    <w:rsid w:val="00A51CE5"/>
    <w:rsid w:val="00A579A0"/>
    <w:rsid w:val="00A65FA3"/>
    <w:rsid w:val="00A74D99"/>
    <w:rsid w:val="00A81E67"/>
    <w:rsid w:val="00A87BC2"/>
    <w:rsid w:val="00A940B7"/>
    <w:rsid w:val="00A97BFC"/>
    <w:rsid w:val="00AA6206"/>
    <w:rsid w:val="00AC2DF1"/>
    <w:rsid w:val="00AD3F9B"/>
    <w:rsid w:val="00AE43FD"/>
    <w:rsid w:val="00AE4A66"/>
    <w:rsid w:val="00AF0357"/>
    <w:rsid w:val="00B00E2C"/>
    <w:rsid w:val="00B161FE"/>
    <w:rsid w:val="00B23714"/>
    <w:rsid w:val="00B331D6"/>
    <w:rsid w:val="00B37156"/>
    <w:rsid w:val="00B46B58"/>
    <w:rsid w:val="00B46C1B"/>
    <w:rsid w:val="00B61F59"/>
    <w:rsid w:val="00B667C5"/>
    <w:rsid w:val="00B676B8"/>
    <w:rsid w:val="00B82041"/>
    <w:rsid w:val="00B97844"/>
    <w:rsid w:val="00BD3D08"/>
    <w:rsid w:val="00BE0FAC"/>
    <w:rsid w:val="00BE7F9D"/>
    <w:rsid w:val="00BF0087"/>
    <w:rsid w:val="00BF7DEB"/>
    <w:rsid w:val="00C04DA3"/>
    <w:rsid w:val="00C06CF4"/>
    <w:rsid w:val="00C31A6B"/>
    <w:rsid w:val="00C5093B"/>
    <w:rsid w:val="00C518AD"/>
    <w:rsid w:val="00C61F41"/>
    <w:rsid w:val="00C643A8"/>
    <w:rsid w:val="00C65907"/>
    <w:rsid w:val="00C86114"/>
    <w:rsid w:val="00C9015F"/>
    <w:rsid w:val="00CA6D8C"/>
    <w:rsid w:val="00CB3DB3"/>
    <w:rsid w:val="00CC26ED"/>
    <w:rsid w:val="00CF2E1A"/>
    <w:rsid w:val="00CF5BB6"/>
    <w:rsid w:val="00D0565A"/>
    <w:rsid w:val="00D1553F"/>
    <w:rsid w:val="00D206DF"/>
    <w:rsid w:val="00D21431"/>
    <w:rsid w:val="00D37855"/>
    <w:rsid w:val="00D81B07"/>
    <w:rsid w:val="00D863FF"/>
    <w:rsid w:val="00DA012F"/>
    <w:rsid w:val="00DB5ADD"/>
    <w:rsid w:val="00DB6E3A"/>
    <w:rsid w:val="00DC1D70"/>
    <w:rsid w:val="00DE251E"/>
    <w:rsid w:val="00DE7113"/>
    <w:rsid w:val="00DF3095"/>
    <w:rsid w:val="00E11CC2"/>
    <w:rsid w:val="00E3475D"/>
    <w:rsid w:val="00E53EAD"/>
    <w:rsid w:val="00E678F1"/>
    <w:rsid w:val="00E9304E"/>
    <w:rsid w:val="00E97743"/>
    <w:rsid w:val="00EA5AAE"/>
    <w:rsid w:val="00EB3C07"/>
    <w:rsid w:val="00EC1B1C"/>
    <w:rsid w:val="00EC252A"/>
    <w:rsid w:val="00EC2E32"/>
    <w:rsid w:val="00EC3F63"/>
    <w:rsid w:val="00EC740C"/>
    <w:rsid w:val="00ED03C4"/>
    <w:rsid w:val="00EE00A5"/>
    <w:rsid w:val="00F06F3C"/>
    <w:rsid w:val="00F16089"/>
    <w:rsid w:val="00F257B4"/>
    <w:rsid w:val="00F26D4E"/>
    <w:rsid w:val="00F411CB"/>
    <w:rsid w:val="00F432EE"/>
    <w:rsid w:val="00F506C3"/>
    <w:rsid w:val="00F52922"/>
    <w:rsid w:val="00F56423"/>
    <w:rsid w:val="00F63E91"/>
    <w:rsid w:val="00F75491"/>
    <w:rsid w:val="00F873B8"/>
    <w:rsid w:val="00FA4649"/>
    <w:rsid w:val="00FC00F3"/>
    <w:rsid w:val="00FF57E2"/>
    <w:rsid w:val="02AD602F"/>
    <w:rsid w:val="02AF00B3"/>
    <w:rsid w:val="02CE7EAB"/>
    <w:rsid w:val="03151AC3"/>
    <w:rsid w:val="03865454"/>
    <w:rsid w:val="05F92C67"/>
    <w:rsid w:val="06545200"/>
    <w:rsid w:val="06686AF0"/>
    <w:rsid w:val="06B17687"/>
    <w:rsid w:val="078A3264"/>
    <w:rsid w:val="0860640D"/>
    <w:rsid w:val="08B34FA4"/>
    <w:rsid w:val="0C3204D5"/>
    <w:rsid w:val="0C364933"/>
    <w:rsid w:val="0C540555"/>
    <w:rsid w:val="0D7350F2"/>
    <w:rsid w:val="0FEB62E3"/>
    <w:rsid w:val="10527066"/>
    <w:rsid w:val="12750247"/>
    <w:rsid w:val="130B3D11"/>
    <w:rsid w:val="147C11FC"/>
    <w:rsid w:val="14B053A7"/>
    <w:rsid w:val="151C1F95"/>
    <w:rsid w:val="1523325A"/>
    <w:rsid w:val="152F3DA0"/>
    <w:rsid w:val="1539655D"/>
    <w:rsid w:val="15F0183D"/>
    <w:rsid w:val="16940223"/>
    <w:rsid w:val="181025D6"/>
    <w:rsid w:val="18352EF0"/>
    <w:rsid w:val="189615F5"/>
    <w:rsid w:val="1A0339E6"/>
    <w:rsid w:val="1A4816C0"/>
    <w:rsid w:val="1A4C6BBB"/>
    <w:rsid w:val="1C471301"/>
    <w:rsid w:val="1DC21729"/>
    <w:rsid w:val="1DCC4B11"/>
    <w:rsid w:val="1DFD3292"/>
    <w:rsid w:val="1FA3511C"/>
    <w:rsid w:val="2114547D"/>
    <w:rsid w:val="222375F7"/>
    <w:rsid w:val="227F5EAB"/>
    <w:rsid w:val="2304780B"/>
    <w:rsid w:val="232C0BF7"/>
    <w:rsid w:val="242252E0"/>
    <w:rsid w:val="25297BA2"/>
    <w:rsid w:val="2549479F"/>
    <w:rsid w:val="27C5207C"/>
    <w:rsid w:val="27F936CC"/>
    <w:rsid w:val="288A2A7D"/>
    <w:rsid w:val="297C72AA"/>
    <w:rsid w:val="29F13054"/>
    <w:rsid w:val="2A2C542E"/>
    <w:rsid w:val="2A763612"/>
    <w:rsid w:val="2C576446"/>
    <w:rsid w:val="2E0E3CD2"/>
    <w:rsid w:val="2EB441D0"/>
    <w:rsid w:val="2FF61761"/>
    <w:rsid w:val="32AA10B9"/>
    <w:rsid w:val="33710176"/>
    <w:rsid w:val="35FF5A86"/>
    <w:rsid w:val="36307512"/>
    <w:rsid w:val="36520928"/>
    <w:rsid w:val="36AB6F5F"/>
    <w:rsid w:val="36CC4C76"/>
    <w:rsid w:val="370016E2"/>
    <w:rsid w:val="38A1306C"/>
    <w:rsid w:val="39BA2A24"/>
    <w:rsid w:val="39FF0E30"/>
    <w:rsid w:val="3A957C68"/>
    <w:rsid w:val="3BDA5482"/>
    <w:rsid w:val="3C4A2BDA"/>
    <w:rsid w:val="3DDE15E1"/>
    <w:rsid w:val="3E612243"/>
    <w:rsid w:val="3FF52BA4"/>
    <w:rsid w:val="42984D94"/>
    <w:rsid w:val="42DF3068"/>
    <w:rsid w:val="43B66D3F"/>
    <w:rsid w:val="43CC6C26"/>
    <w:rsid w:val="44D42388"/>
    <w:rsid w:val="452C451B"/>
    <w:rsid w:val="48575AF3"/>
    <w:rsid w:val="486662B1"/>
    <w:rsid w:val="48DB0A9A"/>
    <w:rsid w:val="495070E8"/>
    <w:rsid w:val="49604A66"/>
    <w:rsid w:val="4BB20089"/>
    <w:rsid w:val="4C1A4DC8"/>
    <w:rsid w:val="4C6B4EF9"/>
    <w:rsid w:val="4C9738B8"/>
    <w:rsid w:val="4D026D32"/>
    <w:rsid w:val="4D2C74CB"/>
    <w:rsid w:val="4E684634"/>
    <w:rsid w:val="4F7B0C8A"/>
    <w:rsid w:val="4FE64EF3"/>
    <w:rsid w:val="504A0E65"/>
    <w:rsid w:val="50675880"/>
    <w:rsid w:val="50C51AFA"/>
    <w:rsid w:val="51E32A6A"/>
    <w:rsid w:val="52676259"/>
    <w:rsid w:val="53083639"/>
    <w:rsid w:val="539A53CE"/>
    <w:rsid w:val="54686BAD"/>
    <w:rsid w:val="54A1534F"/>
    <w:rsid w:val="5A7A1531"/>
    <w:rsid w:val="5A8B2739"/>
    <w:rsid w:val="5B9E0AC4"/>
    <w:rsid w:val="5C040C64"/>
    <w:rsid w:val="5CDD5419"/>
    <w:rsid w:val="5D2141E0"/>
    <w:rsid w:val="5D633F30"/>
    <w:rsid w:val="5F291774"/>
    <w:rsid w:val="5F43625E"/>
    <w:rsid w:val="5F6E2F1E"/>
    <w:rsid w:val="5FED1447"/>
    <w:rsid w:val="601F0EBF"/>
    <w:rsid w:val="603A1559"/>
    <w:rsid w:val="60FC3854"/>
    <w:rsid w:val="62064B2C"/>
    <w:rsid w:val="62CA3B2A"/>
    <w:rsid w:val="65462B98"/>
    <w:rsid w:val="672D4B1D"/>
    <w:rsid w:val="67582C92"/>
    <w:rsid w:val="678F5EDC"/>
    <w:rsid w:val="67D60C4A"/>
    <w:rsid w:val="686B09A7"/>
    <w:rsid w:val="68850F92"/>
    <w:rsid w:val="6B2D53B2"/>
    <w:rsid w:val="6BC6086A"/>
    <w:rsid w:val="6C26114A"/>
    <w:rsid w:val="6D80158E"/>
    <w:rsid w:val="6DEE2B16"/>
    <w:rsid w:val="6E242CF9"/>
    <w:rsid w:val="70FB4DE3"/>
    <w:rsid w:val="722828EB"/>
    <w:rsid w:val="72C055D8"/>
    <w:rsid w:val="74742163"/>
    <w:rsid w:val="74F70921"/>
    <w:rsid w:val="75E959AD"/>
    <w:rsid w:val="78E95987"/>
    <w:rsid w:val="793C11AE"/>
    <w:rsid w:val="7A6F2CDF"/>
    <w:rsid w:val="7B0336F0"/>
    <w:rsid w:val="7B2D19F1"/>
    <w:rsid w:val="7BA65465"/>
    <w:rsid w:val="7BF417FA"/>
    <w:rsid w:val="7C6B473E"/>
    <w:rsid w:val="7C9C3B46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 w:val="32"/>
      <w:szCs w:val="32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basedOn w:val="8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9B3649-A16D-4828-8486-E1D05FA3F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819</Characters>
  <Lines>6</Lines>
  <Paragraphs>1</Paragraphs>
  <TotalTime>7</TotalTime>
  <ScaleCrop>false</ScaleCrop>
  <LinksUpToDate>false</LinksUpToDate>
  <CharactersWithSpaces>961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PCH</dc:creator>
  <cp:lastModifiedBy>林农</cp:lastModifiedBy>
  <cp:lastPrinted>2021-07-27T01:40:00Z</cp:lastPrinted>
  <dcterms:modified xsi:type="dcterms:W3CDTF">2021-12-14T01:43:04Z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2EAD2C757A084051A342F99DFF5C9AE1</vt:lpwstr>
  </property>
</Properties>
</file>