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bCs/>
          <w:color w:val="000000" w:themeColor="text1"/>
          <w:sz w:val="32"/>
          <w:szCs w:val="32"/>
          <w:lang w:val="en-US"/>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w:t>
      </w:r>
      <w:r>
        <w:rPr>
          <w:rFonts w:hint="eastAsia" w:ascii="黑体" w:hAnsi="黑体" w:eastAsia="黑体"/>
          <w:bCs/>
          <w:color w:val="000000" w:themeColor="text1"/>
          <w:sz w:val="32"/>
          <w:szCs w:val="32"/>
          <w:lang w:eastAsia="zh-CN"/>
          <w14:textFill>
            <w14:solidFill>
              <w14:schemeClr w14:val="tx1"/>
            </w14:solidFill>
          </w14:textFill>
        </w:rPr>
        <w:t>龙湖麓宸郡</w:t>
      </w:r>
      <w:r>
        <w:rPr>
          <w:rFonts w:hint="eastAsia" w:ascii="黑体" w:hAnsi="黑体" w:eastAsia="黑体"/>
          <w:bCs/>
          <w:color w:val="000000" w:themeColor="text1"/>
          <w:sz w:val="32"/>
          <w:szCs w:val="32"/>
          <w14:textFill>
            <w14:solidFill>
              <w14:schemeClr w14:val="tx1"/>
            </w14:solidFill>
          </w14:textFill>
        </w:rPr>
        <w:t>”项目</w:t>
      </w:r>
      <w:r>
        <w:rPr>
          <w:rFonts w:hint="eastAsia" w:ascii="黑体" w:hAnsi="黑体" w:eastAsia="黑体"/>
          <w:bCs/>
          <w:color w:val="000000" w:themeColor="text1"/>
          <w:sz w:val="32"/>
          <w:szCs w:val="32"/>
          <w:lang w:eastAsia="zh-CN"/>
          <w14:textFill>
            <w14:solidFill>
              <w14:schemeClr w14:val="tx1"/>
            </w14:solidFill>
          </w14:textFill>
        </w:rPr>
        <w:t>1</w:t>
      </w:r>
      <w:r>
        <w:rPr>
          <w:rFonts w:hint="eastAsia" w:ascii="黑体" w:hAnsi="黑体" w:eastAsia="黑体"/>
          <w:bCs/>
          <w:color w:val="000000" w:themeColor="text1"/>
          <w:sz w:val="32"/>
          <w:szCs w:val="32"/>
          <w:lang w:val="en-US" w:eastAsia="zh-CN"/>
          <w14:textFill>
            <w14:solidFill>
              <w14:schemeClr w14:val="tx1"/>
            </w14:solidFill>
          </w14:textFill>
        </w:rPr>
        <w:t>-2</w:t>
      </w:r>
      <w:r>
        <w:rPr>
          <w:rFonts w:hint="eastAsia" w:ascii="黑体" w:hAnsi="黑体" w:eastAsia="黑体"/>
          <w:bCs/>
          <w:color w:val="000000" w:themeColor="text1"/>
          <w:sz w:val="32"/>
          <w:szCs w:val="32"/>
          <w:lang w:eastAsia="zh-CN"/>
          <w14:textFill>
            <w14:solidFill>
              <w14:schemeClr w14:val="tx1"/>
            </w14:solidFill>
          </w14:textFill>
        </w:rPr>
        <w:t>#、2#、3</w:t>
      </w:r>
      <w:r>
        <w:rPr>
          <w:rFonts w:hint="eastAsia" w:ascii="黑体" w:hAnsi="黑体" w:eastAsia="黑体"/>
          <w:bCs/>
          <w:color w:val="000000" w:themeColor="text1"/>
          <w:sz w:val="32"/>
          <w:szCs w:val="32"/>
          <w:lang w:val="en-US" w:eastAsia="zh-CN"/>
          <w14:textFill>
            <w14:solidFill>
              <w14:schemeClr w14:val="tx1"/>
            </w14:solidFill>
          </w14:textFill>
        </w:rPr>
        <w:t>-1</w:t>
      </w:r>
      <w:r>
        <w:rPr>
          <w:rFonts w:hint="eastAsia" w:ascii="黑体" w:hAnsi="黑体" w:eastAsia="黑体"/>
          <w:bCs/>
          <w:color w:val="000000" w:themeColor="text1"/>
          <w:sz w:val="32"/>
          <w:szCs w:val="32"/>
          <w:lang w:eastAsia="zh-CN"/>
          <w14:textFill>
            <w14:solidFill>
              <w14:schemeClr w14:val="tx1"/>
            </w14:solidFill>
          </w14:textFill>
        </w:rPr>
        <w:t>#、</w:t>
      </w:r>
      <w:r>
        <w:rPr>
          <w:rFonts w:hint="eastAsia" w:ascii="黑体" w:hAnsi="黑体" w:eastAsia="黑体"/>
          <w:bCs/>
          <w:color w:val="000000" w:themeColor="text1"/>
          <w:sz w:val="32"/>
          <w:szCs w:val="32"/>
          <w:lang w:val="en-US" w:eastAsia="zh-CN"/>
          <w14:textFill>
            <w14:solidFill>
              <w14:schemeClr w14:val="tx1"/>
            </w14:solidFill>
          </w14:textFill>
        </w:rPr>
        <w:t>3-3</w:t>
      </w:r>
      <w:r>
        <w:rPr>
          <w:rFonts w:hint="eastAsia" w:ascii="黑体" w:hAnsi="黑体" w:eastAsia="黑体"/>
          <w:bCs/>
          <w:color w:val="000000" w:themeColor="text1"/>
          <w:sz w:val="32"/>
          <w:szCs w:val="32"/>
          <w:lang w:eastAsia="zh-CN"/>
          <w14:textFill>
            <w14:solidFill>
              <w14:schemeClr w14:val="tx1"/>
            </w14:solidFill>
          </w14:textFill>
        </w:rPr>
        <w:t>#、7#、</w:t>
      </w:r>
      <w:r>
        <w:rPr>
          <w:rFonts w:hint="eastAsia" w:ascii="黑体" w:hAnsi="黑体" w:eastAsia="黑体"/>
          <w:bCs/>
          <w:color w:val="000000" w:themeColor="text1"/>
          <w:sz w:val="32"/>
          <w:szCs w:val="32"/>
          <w:lang w:val="en-US" w:eastAsia="zh-CN"/>
          <w14:textFill>
            <w14:solidFill>
              <w14:schemeClr w14:val="tx1"/>
            </w14:solidFill>
          </w14:textFill>
        </w:rPr>
        <w:t>9</w:t>
      </w:r>
      <w:r>
        <w:rPr>
          <w:rFonts w:hint="eastAsia" w:ascii="黑体" w:hAnsi="黑体" w:eastAsia="黑体"/>
          <w:bCs/>
          <w:color w:val="000000" w:themeColor="text1"/>
          <w:sz w:val="32"/>
          <w:szCs w:val="32"/>
          <w:lang w:eastAsia="zh-CN"/>
          <w14:textFill>
            <w14:solidFill>
              <w14:schemeClr w14:val="tx1"/>
            </w14:solidFill>
          </w14:textFill>
        </w:rPr>
        <w:t>#楼</w:t>
      </w:r>
    </w:p>
    <w:p>
      <w:pPr>
        <w:jc w:val="center"/>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lang w:val="en-US" w:eastAsia="zh-CN"/>
          <w14:textFill>
            <w14:solidFill>
              <w14:schemeClr w14:val="tx1"/>
            </w14:solidFill>
          </w14:textFill>
        </w:rPr>
        <w:t>装配式</w:t>
      </w:r>
      <w:r>
        <w:rPr>
          <w:rFonts w:hint="eastAsia" w:ascii="黑体" w:hAnsi="黑体" w:eastAsia="黑体"/>
          <w:bCs/>
          <w:color w:val="000000" w:themeColor="text1"/>
          <w:sz w:val="32"/>
          <w:szCs w:val="32"/>
          <w14:textFill>
            <w14:solidFill>
              <w14:schemeClr w14:val="tx1"/>
            </w14:solidFill>
          </w14:textFill>
        </w:rPr>
        <w:t>建筑设计阶段</w:t>
      </w:r>
      <w:r>
        <w:rPr>
          <w:rFonts w:hint="eastAsia" w:ascii="黑体" w:hAnsi="黑体" w:eastAsia="黑体"/>
          <w:bCs/>
          <w:color w:val="000000" w:themeColor="text1"/>
          <w:sz w:val="32"/>
          <w:szCs w:val="32"/>
          <w:lang w:val="en-US" w:eastAsia="zh-CN"/>
          <w14:textFill>
            <w14:solidFill>
              <w14:schemeClr w14:val="tx1"/>
            </w14:solidFill>
          </w14:textFill>
        </w:rPr>
        <w:t>预评价</w:t>
      </w:r>
      <w:r>
        <w:rPr>
          <w:rFonts w:hint="eastAsia" w:ascii="黑体" w:hAnsi="黑体" w:eastAsia="黑体"/>
          <w:bCs/>
          <w:color w:val="000000" w:themeColor="text1"/>
          <w:sz w:val="32"/>
          <w:szCs w:val="32"/>
          <w14:textFill>
            <w14:solidFill>
              <w14:schemeClr w14:val="tx1"/>
            </w14:solidFill>
          </w14:textFill>
        </w:rPr>
        <w:t>专家</w:t>
      </w:r>
      <w:r>
        <w:rPr>
          <w:rFonts w:hint="eastAsia" w:ascii="黑体" w:hAnsi="黑体" w:eastAsia="黑体"/>
          <w:bCs/>
          <w:color w:val="000000" w:themeColor="text1"/>
          <w:sz w:val="32"/>
          <w:szCs w:val="32"/>
          <w:lang w:val="en-US" w:eastAsia="zh-CN"/>
          <w14:textFill>
            <w14:solidFill>
              <w14:schemeClr w14:val="tx1"/>
            </w14:solidFill>
          </w14:textFill>
        </w:rPr>
        <w:t>评审</w:t>
      </w:r>
      <w:r>
        <w:rPr>
          <w:rFonts w:hint="eastAsia" w:ascii="黑体" w:hAnsi="黑体" w:eastAsia="黑体"/>
          <w:bCs/>
          <w:color w:val="000000" w:themeColor="text1"/>
          <w:sz w:val="32"/>
          <w:szCs w:val="32"/>
          <w14:textFill>
            <w14:solidFill>
              <w14:schemeClr w14:val="tx1"/>
            </w14:solidFill>
          </w14:textFill>
        </w:rPr>
        <w:t>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年</w:t>
      </w:r>
      <w:r>
        <w:rPr>
          <w:rFonts w:hint="eastAsia" w:ascii="仿宋_GB2312" w:hAnsi="宋体"/>
          <w:bCs/>
          <w:color w:val="000000" w:themeColor="text1"/>
          <w:sz w:val="28"/>
          <w:szCs w:val="28"/>
          <w:lang w:val="en-US" w:eastAsia="zh-CN"/>
          <w14:textFill>
            <w14:solidFill>
              <w14:schemeClr w14:val="tx1"/>
            </w14:solidFill>
          </w14:textFill>
        </w:rPr>
        <w:t>03</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02</w:t>
      </w:r>
      <w:r>
        <w:rPr>
          <w:rFonts w:hint="eastAsia" w:ascii="仿宋_GB2312" w:hAnsi="宋体"/>
          <w:bCs/>
          <w:color w:val="000000" w:themeColor="text1"/>
          <w:sz w:val="28"/>
          <w:szCs w:val="28"/>
          <w14:textFill>
            <w14:solidFill>
              <w14:schemeClr w14:val="tx1"/>
            </w14:solidFill>
          </w14:textFill>
        </w:rPr>
        <w:t>日，</w:t>
      </w:r>
      <w:r>
        <w:rPr>
          <w:rFonts w:hint="eastAsia" w:ascii="仿宋_GB2312" w:hAnsi="宋体"/>
          <w:bCs/>
          <w:color w:val="000000" w:themeColor="text1"/>
          <w:sz w:val="28"/>
          <w:szCs w:val="28"/>
          <w:lang w:eastAsia="zh-CN"/>
          <w14:textFill>
            <w14:solidFill>
              <w14:schemeClr w14:val="tx1"/>
            </w14:solidFill>
          </w14:textFill>
        </w:rPr>
        <w:t>福州宇冠置业有限公司</w:t>
      </w:r>
      <w:r>
        <w:rPr>
          <w:rFonts w:hint="eastAsia" w:ascii="仿宋_GB2312" w:hAnsi="宋体"/>
          <w:bCs/>
          <w:color w:val="000000" w:themeColor="text1"/>
          <w:sz w:val="28"/>
          <w:szCs w:val="28"/>
          <w14:textFill>
            <w14:solidFill>
              <w14:schemeClr w14:val="tx1"/>
            </w14:solidFill>
          </w14:textFill>
        </w:rPr>
        <w:t>在福州市组织召开“</w:t>
      </w:r>
      <w:r>
        <w:rPr>
          <w:rFonts w:hint="eastAsia" w:ascii="仿宋_GB2312" w:hAnsi="宋体"/>
          <w:bCs/>
          <w:color w:val="000000" w:themeColor="text1"/>
          <w:sz w:val="28"/>
          <w:szCs w:val="28"/>
          <w:lang w:eastAsia="zh-CN"/>
          <w14:textFill>
            <w14:solidFill>
              <w14:schemeClr w14:val="tx1"/>
            </w14:solidFill>
          </w14:textFill>
        </w:rPr>
        <w:t>龙湖麓宸郡”项目1</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lang w:eastAsia="zh-CN"/>
          <w14:textFill>
            <w14:solidFill>
              <w14:schemeClr w14:val="tx1"/>
            </w14:solidFill>
          </w14:textFill>
        </w:rPr>
        <w:t>#、2#、3</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3-3</w:t>
      </w:r>
      <w:r>
        <w:rPr>
          <w:rFonts w:hint="eastAsia" w:ascii="仿宋_GB2312" w:hAnsi="宋体"/>
          <w:bCs/>
          <w:color w:val="000000" w:themeColor="text1"/>
          <w:sz w:val="28"/>
          <w:szCs w:val="28"/>
          <w:lang w:eastAsia="zh-CN"/>
          <w14:textFill>
            <w14:solidFill>
              <w14:schemeClr w14:val="tx1"/>
            </w14:solidFill>
          </w14:textFill>
        </w:rPr>
        <w:t>#、7#、</w:t>
      </w:r>
      <w:r>
        <w:rPr>
          <w:rFonts w:hint="eastAsia" w:ascii="仿宋_GB2312" w:hAnsi="宋体"/>
          <w:bCs/>
          <w:color w:val="000000" w:themeColor="text1"/>
          <w:sz w:val="28"/>
          <w:szCs w:val="28"/>
          <w:lang w:val="en-US" w:eastAsia="zh-CN"/>
          <w14:textFill>
            <w14:solidFill>
              <w14:schemeClr w14:val="tx1"/>
            </w14:solidFill>
          </w14:textFill>
        </w:rPr>
        <w:t>9</w:t>
      </w:r>
      <w:r>
        <w:rPr>
          <w:rFonts w:hint="eastAsia" w:ascii="仿宋_GB2312" w:hAnsi="宋体"/>
          <w:bCs/>
          <w:color w:val="000000" w:themeColor="text1"/>
          <w:sz w:val="28"/>
          <w:szCs w:val="28"/>
          <w:lang w:eastAsia="zh-CN"/>
          <w14:textFill>
            <w14:solidFill>
              <w14:schemeClr w14:val="tx1"/>
            </w14:solidFill>
          </w14:textFill>
        </w:rPr>
        <w:t>#楼</w:t>
      </w:r>
      <w:r>
        <w:rPr>
          <w:rFonts w:hint="eastAsia" w:ascii="仿宋_GB2312" w:hAnsi="宋体"/>
          <w:bCs/>
          <w:color w:val="000000" w:themeColor="text1"/>
          <w:sz w:val="28"/>
          <w:szCs w:val="28"/>
          <w:lang w:val="en-US" w:eastAsia="zh-CN"/>
          <w14:textFill>
            <w14:solidFill>
              <w14:schemeClr w14:val="tx1"/>
            </w14:solidFill>
          </w14:textFill>
        </w:rPr>
        <w:t>装配式</w:t>
      </w:r>
      <w:r>
        <w:rPr>
          <w:rFonts w:hint="eastAsia" w:ascii="仿宋_GB2312" w:hAnsi="宋体"/>
          <w:bCs/>
          <w:color w:val="000000" w:themeColor="text1"/>
          <w:sz w:val="28"/>
          <w:szCs w:val="28"/>
          <w14:textFill>
            <w14:solidFill>
              <w14:schemeClr w14:val="tx1"/>
            </w14:solidFill>
          </w14:textFill>
        </w:rPr>
        <w:t>建筑设计阶段</w:t>
      </w:r>
      <w:r>
        <w:rPr>
          <w:rFonts w:hint="eastAsia" w:ascii="仿宋_GB2312" w:hAnsi="宋体"/>
          <w:bCs/>
          <w:color w:val="000000" w:themeColor="text1"/>
          <w:sz w:val="28"/>
          <w:szCs w:val="28"/>
          <w:lang w:val="en-US" w:eastAsia="zh-CN"/>
          <w14:textFill>
            <w14:solidFill>
              <w14:schemeClr w14:val="tx1"/>
            </w14:solidFill>
          </w14:textFill>
        </w:rPr>
        <w:t>预评价</w:t>
      </w:r>
      <w:r>
        <w:rPr>
          <w:rFonts w:hint="eastAsia" w:ascii="仿宋_GB2312" w:hAnsi="宋体"/>
          <w:bCs/>
          <w:color w:val="000000" w:themeColor="text1"/>
          <w:sz w:val="28"/>
          <w:szCs w:val="28"/>
          <w14:textFill>
            <w14:solidFill>
              <w14:schemeClr w14:val="tx1"/>
            </w14:solidFill>
          </w14:textFill>
        </w:rPr>
        <w:t>专家</w:t>
      </w:r>
      <w:r>
        <w:rPr>
          <w:rFonts w:hint="eastAsia" w:ascii="仿宋_GB2312" w:hAnsi="宋体"/>
          <w:bCs/>
          <w:color w:val="000000" w:themeColor="text1"/>
          <w:sz w:val="28"/>
          <w:szCs w:val="28"/>
          <w:lang w:val="en-US" w:eastAsia="zh-CN"/>
          <w14:textFill>
            <w14:solidFill>
              <w14:schemeClr w14:val="tx1"/>
            </w14:solidFill>
          </w14:textFill>
        </w:rPr>
        <w:t>评审</w:t>
      </w:r>
      <w:r>
        <w:rPr>
          <w:rFonts w:hint="eastAsia" w:ascii="仿宋_GB2312" w:hAnsi="宋体"/>
          <w:bCs/>
          <w:color w:val="000000" w:themeColor="text1"/>
          <w:sz w:val="28"/>
          <w:szCs w:val="28"/>
          <w14:textFill>
            <w14:solidFill>
              <w14:schemeClr w14:val="tx1"/>
            </w14:solidFill>
          </w14:textFill>
        </w:rPr>
        <w:t>会，会议由</w:t>
      </w:r>
      <w:r>
        <w:rPr>
          <w:rFonts w:hint="eastAsia" w:ascii="仿宋_GB2312" w:hAnsi="宋体"/>
          <w:bCs/>
          <w:color w:val="000000" w:themeColor="text1"/>
          <w:sz w:val="28"/>
          <w:szCs w:val="28"/>
          <w:lang w:eastAsia="zh-CN"/>
          <w14:textFill>
            <w14:solidFill>
              <w14:schemeClr w14:val="tx1"/>
            </w14:solidFill>
          </w14:textFill>
        </w:rPr>
        <w:t>福州宇冠置业有限公司</w:t>
      </w:r>
      <w:r>
        <w:rPr>
          <w:rFonts w:hint="eastAsia" w:ascii="仿宋_GB2312" w:hAnsi="宋体"/>
          <w:bCs/>
          <w:color w:val="000000" w:themeColor="text1"/>
          <w:sz w:val="28"/>
          <w:szCs w:val="28"/>
          <w14:textFill>
            <w14:solidFill>
              <w14:schemeClr w14:val="tx1"/>
            </w14:solidFill>
          </w14:textFill>
        </w:rPr>
        <w:t>主持，评审专家</w:t>
      </w:r>
      <w:r>
        <w:rPr>
          <w:rFonts w:hint="eastAsia" w:ascii="仿宋_GB2312" w:hAnsi="宋体"/>
          <w:bCs/>
          <w:color w:val="000000" w:themeColor="text1"/>
          <w:sz w:val="28"/>
          <w:szCs w:val="28"/>
          <w:lang w:val="en-US" w:eastAsia="zh-CN"/>
          <w14:textFill>
            <w14:solidFill>
              <w14:schemeClr w14:val="tx1"/>
            </w14:solidFill>
          </w14:textFill>
        </w:rPr>
        <w:t>及</w:t>
      </w:r>
      <w:r>
        <w:rPr>
          <w:rFonts w:hint="eastAsia" w:ascii="仿宋_GB2312" w:hAnsi="宋体"/>
          <w:bCs/>
          <w:color w:val="000000" w:themeColor="text1"/>
          <w:sz w:val="28"/>
          <w:szCs w:val="28"/>
          <w14:textFill>
            <w14:solidFill>
              <w14:schemeClr w14:val="tx1"/>
            </w14:solidFill>
          </w14:textFill>
        </w:rPr>
        <w:t>设计单位、施工图审查单位</w:t>
      </w:r>
      <w:r>
        <w:rPr>
          <w:rFonts w:hint="eastAsia" w:ascii="仿宋_GB2312" w:hAnsi="宋体"/>
          <w:bCs/>
          <w:color w:val="000000" w:themeColor="text1"/>
          <w:sz w:val="28"/>
          <w:szCs w:val="28"/>
          <w:lang w:val="en-US" w:eastAsia="zh-CN"/>
          <w14:textFill>
            <w14:solidFill>
              <w14:schemeClr w14:val="tx1"/>
            </w14:solidFill>
          </w14:textFill>
        </w:rPr>
        <w:t>相关人员</w:t>
      </w:r>
      <w:r>
        <w:rPr>
          <w:rFonts w:hint="eastAsia" w:ascii="仿宋_GB2312" w:hAnsi="宋体"/>
          <w:bCs/>
          <w:color w:val="000000" w:themeColor="text1"/>
          <w:sz w:val="28"/>
          <w:szCs w:val="28"/>
          <w14:textFill>
            <w14:solidFill>
              <w14:schemeClr w14:val="tx1"/>
            </w14:solidFill>
          </w14:textFill>
        </w:rPr>
        <w:t>参加会议。</w:t>
      </w:r>
    </w:p>
    <w:p>
      <w:pPr>
        <w:snapToGrid w:val="0"/>
        <w:spacing w:line="490" w:lineRule="exact"/>
        <w:ind w:firstLine="560" w:firstLineChars="200"/>
        <w:rPr>
          <w:rFonts w:ascii="仿宋_GB2312"/>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w:t>
      </w:r>
      <w:r>
        <w:rPr>
          <w:rFonts w:hint="eastAsia" w:ascii="仿宋_GB2312" w:hAnsi="宋体"/>
          <w:bCs/>
          <w:color w:val="000000" w:themeColor="text1"/>
          <w:sz w:val="28"/>
          <w:szCs w:val="28"/>
          <w:lang w:val="en-US"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项目位于福州市</w:t>
      </w:r>
      <w:r>
        <w:rPr>
          <w:rFonts w:hint="eastAsia" w:asciiTheme="minorHAnsi" w:hAnsiTheme="minorHAnsi"/>
          <w:bCs/>
          <w:color w:val="000000" w:themeColor="text1"/>
          <w:sz w:val="28"/>
          <w:szCs w:val="28"/>
          <w:lang w:eastAsia="zh-CN"/>
          <w14:textFill>
            <w14:solidFill>
              <w14:schemeClr w14:val="tx1"/>
            </w14:solidFill>
          </w14:textFill>
        </w:rPr>
        <w:t>晋安</w:t>
      </w:r>
      <w:r>
        <w:rPr>
          <w:rFonts w:hint="eastAsia" w:ascii="仿宋_GB2312" w:hAnsi="宋体"/>
          <w:bCs/>
          <w:color w:val="000000" w:themeColor="text1"/>
          <w:sz w:val="28"/>
          <w:szCs w:val="28"/>
          <w14:textFill>
            <w14:solidFill>
              <w14:schemeClr w14:val="tx1"/>
            </w14:solidFill>
          </w14:textFill>
        </w:rPr>
        <w:t>区。拟</w:t>
      </w:r>
      <w:r>
        <w:rPr>
          <w:rFonts w:hint="eastAsia" w:asciiTheme="minorHAnsi" w:hAnsiTheme="minorHAnsi"/>
          <w:bCs/>
          <w:color w:val="000000" w:themeColor="text1"/>
          <w:sz w:val="28"/>
          <w:szCs w:val="28"/>
          <w:lang w:eastAsia="zh-CN"/>
          <w14:textFill>
            <w14:solidFill>
              <w14:schemeClr w14:val="tx1"/>
            </w14:solidFill>
          </w14:textFill>
        </w:rPr>
        <w:t>建</w:t>
      </w:r>
      <w:r>
        <w:rPr>
          <w:rFonts w:hint="eastAsia" w:ascii="仿宋_GB2312" w:hAnsi="宋体"/>
          <w:bCs/>
          <w:color w:val="000000" w:themeColor="text1"/>
          <w:sz w:val="28"/>
          <w:szCs w:val="28"/>
          <w14:textFill>
            <w14:solidFill>
              <w14:schemeClr w14:val="tx1"/>
            </w14:solidFill>
          </w14:textFill>
        </w:rPr>
        <w:t>3栋高层住宅、1栋高层社会租赁住房、5栋多层商业</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1栋多层配套用房、</w:t>
      </w:r>
      <w:r>
        <w:rPr>
          <w:rFonts w:hint="eastAsia" w:ascii="仿宋_GB2312" w:hAnsi="宋体"/>
          <w:bCs/>
          <w:color w:val="000000" w:themeColor="text1"/>
          <w:sz w:val="28"/>
          <w:szCs w:val="28"/>
          <w14:textFill>
            <w14:solidFill>
              <w14:schemeClr w14:val="tx1"/>
            </w14:solidFill>
          </w14:textFill>
        </w:rPr>
        <w:t>3栋1层</w:t>
      </w:r>
      <w:r>
        <w:rPr>
          <w:rFonts w:hint="eastAsia" w:ascii="仿宋_GB2312" w:hAnsi="宋体"/>
          <w:bCs/>
          <w:color w:val="000000" w:themeColor="text1"/>
          <w:sz w:val="28"/>
          <w:szCs w:val="28"/>
          <w:lang w:eastAsia="zh-CN"/>
          <w14:textFill>
            <w14:solidFill>
              <w14:schemeClr w14:val="tx1"/>
            </w14:solidFill>
          </w14:textFill>
        </w:rPr>
        <w:t>公共建筑和地下室</w:t>
      </w:r>
      <w:r>
        <w:rPr>
          <w:rFonts w:hint="eastAsia" w:ascii="仿宋_GB2312" w:hAnsi="宋体"/>
          <w:bCs/>
          <w:color w:val="000000" w:themeColor="text1"/>
          <w:sz w:val="28"/>
          <w:szCs w:val="28"/>
          <w:lang w:val="en-US" w:eastAsia="zh-CN"/>
          <w14:textFill>
            <w14:solidFill>
              <w14:schemeClr w14:val="tx1"/>
            </w14:solidFill>
          </w14:textFill>
        </w:rPr>
        <w:t>，总建筑面积为52929.45㎡，计入容积率的建筑面积为38613.94㎡，其中自持公寓计容面积为10909.73㎡。其中</w:t>
      </w:r>
      <w:r>
        <w:rPr>
          <w:rFonts w:hint="eastAsia" w:ascii="仿宋_GB2312" w:hAnsi="宋体"/>
          <w:bCs/>
          <w:color w:val="000000" w:themeColor="text1"/>
          <w:sz w:val="28"/>
          <w:szCs w:val="28"/>
          <w:lang w:eastAsia="zh-CN"/>
          <w14:textFill>
            <w14:solidFill>
              <w14:schemeClr w14:val="tx1"/>
            </w14:solidFill>
          </w14:textFill>
        </w:rPr>
        <w:t>1</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lang w:eastAsia="zh-CN"/>
          <w14:textFill>
            <w14:solidFill>
              <w14:schemeClr w14:val="tx1"/>
            </w14:solidFill>
          </w14:textFill>
        </w:rPr>
        <w:t>#、2#、3</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3-3</w:t>
      </w:r>
      <w:r>
        <w:rPr>
          <w:rFonts w:hint="eastAsia" w:ascii="仿宋_GB2312" w:hAnsi="宋体"/>
          <w:bCs/>
          <w:color w:val="000000" w:themeColor="text1"/>
          <w:sz w:val="28"/>
          <w:szCs w:val="28"/>
          <w:lang w:eastAsia="zh-CN"/>
          <w14:textFill>
            <w14:solidFill>
              <w14:schemeClr w14:val="tx1"/>
            </w14:solidFill>
          </w14:textFill>
        </w:rPr>
        <w:t>#、7#、</w:t>
      </w:r>
      <w:r>
        <w:rPr>
          <w:rFonts w:hint="eastAsia" w:ascii="仿宋_GB2312" w:hAnsi="宋体"/>
          <w:bCs/>
          <w:color w:val="000000" w:themeColor="text1"/>
          <w:sz w:val="28"/>
          <w:szCs w:val="28"/>
          <w:lang w:val="en-US" w:eastAsia="zh-CN"/>
          <w14:textFill>
            <w14:solidFill>
              <w14:schemeClr w14:val="tx1"/>
            </w14:solidFill>
          </w14:textFill>
        </w:rPr>
        <w:t>9</w:t>
      </w:r>
      <w:r>
        <w:rPr>
          <w:rFonts w:hint="eastAsia" w:ascii="仿宋_GB2312" w:hAnsi="宋体"/>
          <w:bCs/>
          <w:color w:val="000000" w:themeColor="text1"/>
          <w:sz w:val="28"/>
          <w:szCs w:val="28"/>
          <w:lang w:eastAsia="zh-CN"/>
          <w14:textFill>
            <w14:solidFill>
              <w14:schemeClr w14:val="tx1"/>
            </w14:solidFill>
          </w14:textFill>
        </w:rPr>
        <w:t>#楼</w:t>
      </w:r>
      <w:r>
        <w:rPr>
          <w:rFonts w:hint="eastAsia" w:ascii="仿宋_GB2312" w:hAnsi="宋体"/>
          <w:bCs/>
          <w:color w:val="000000" w:themeColor="text1"/>
          <w:sz w:val="28"/>
          <w:szCs w:val="28"/>
          <w:lang w:val="en-US" w:eastAsia="zh-CN"/>
          <w14:textFill>
            <w14:solidFill>
              <w14:schemeClr w14:val="tx1"/>
            </w14:solidFill>
          </w14:textFill>
        </w:rPr>
        <w:t>采用</w:t>
      </w:r>
      <w:r>
        <w:rPr>
          <w:rFonts w:hint="eastAsia" w:ascii="仿宋_GB2312" w:hAnsi="宋体"/>
          <w:bCs/>
          <w:color w:val="000000" w:themeColor="text1"/>
          <w:sz w:val="28"/>
          <w:szCs w:val="28"/>
          <w14:textFill>
            <w14:solidFill>
              <w14:schemeClr w14:val="tx1"/>
            </w14:solidFill>
          </w14:textFill>
        </w:rPr>
        <w:t>预制装配式混凝土结构，</w:t>
      </w:r>
      <w:r>
        <w:rPr>
          <w:rFonts w:hint="eastAsia" w:ascii="仿宋_GB2312" w:hAnsi="宋体"/>
          <w:bCs/>
          <w:color w:val="000000" w:themeColor="text1"/>
          <w:sz w:val="28"/>
          <w:szCs w:val="28"/>
          <w:lang w:val="en-US" w:eastAsia="zh-CN"/>
          <w14:textFill>
            <w14:solidFill>
              <w14:schemeClr w14:val="tx1"/>
            </w14:solidFill>
          </w14:textFill>
        </w:rPr>
        <w:t>1-2#、9#楼单体计容面积均不大于500㎡且层数均不大于三层，1-2#、9#楼以一个建筑组团作为评价单元，</w:t>
      </w:r>
      <w:r>
        <w:rPr>
          <w:rFonts w:hint="eastAsia" w:ascii="仿宋_GB2312" w:hAnsi="宋体"/>
          <w:bCs/>
          <w:color w:val="000000" w:themeColor="text1"/>
          <w:sz w:val="28"/>
          <w:szCs w:val="28"/>
          <w14:textFill>
            <w14:solidFill>
              <w14:schemeClr w14:val="tx1"/>
            </w14:solidFill>
          </w14:textFill>
        </w:rPr>
        <w:t>装配式楼栋的计容建筑面积为</w:t>
      </w:r>
      <w:r>
        <w:rPr>
          <w:rFonts w:hint="eastAsia" w:ascii="仿宋_GB2312" w:hAnsi="宋体"/>
          <w:bCs/>
          <w:color w:val="000000" w:themeColor="text1"/>
          <w:sz w:val="28"/>
          <w:szCs w:val="28"/>
          <w:lang w:val="en-US" w:eastAsia="zh-CN"/>
          <w14:textFill>
            <w14:solidFill>
              <w14:schemeClr w14:val="tx1"/>
            </w14:solidFill>
          </w14:textFill>
        </w:rPr>
        <w:t>13889.39</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（38613.94-10909.73）</w:t>
      </w:r>
      <w:r>
        <w:rPr>
          <w:rFonts w:hint="eastAsia"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lang w:val="en-US" w:eastAsia="zh-CN"/>
          <w14:textFill>
            <w14:solidFill>
              <w14:schemeClr w14:val="tx1"/>
            </w14:solidFill>
          </w14:textFill>
        </w:rPr>
        <w:t>0.13</w:t>
      </w:r>
      <w:r>
        <w:rPr>
          <w:rFonts w:hint="eastAsia" w:ascii="仿宋_GB2312" w:hAnsi="宋体"/>
          <w:bCs/>
          <w:color w:val="000000" w:themeColor="text1"/>
          <w:sz w:val="28"/>
          <w:szCs w:val="28"/>
          <w14:textFill>
            <w14:solidFill>
              <w14:schemeClr w14:val="tx1"/>
            </w14:solidFill>
          </w14:textFill>
        </w:rPr>
        <w:t>%&gt;50%，满足福州市人民政府文件榕政综〔2017〕1164号</w:t>
      </w:r>
      <w:r>
        <w:rPr>
          <w:rFonts w:hint="eastAsia" w:ascii="仿宋_GB2312" w:hAnsi="宋体"/>
          <w:bCs/>
          <w:color w:val="000000" w:themeColor="text1"/>
          <w:sz w:val="28"/>
          <w:szCs w:val="28"/>
          <w:lang w:val="en-US" w:eastAsia="zh-CN"/>
          <w14:textFill>
            <w14:solidFill>
              <w14:schemeClr w14:val="tx1"/>
            </w14:solidFill>
          </w14:textFill>
        </w:rPr>
        <w:t>及《福州市人民政府印发关于加快推进中央财务支持住房租赁市场发展试点工作实施方案的通知》</w:t>
      </w:r>
      <w:r>
        <w:rPr>
          <w:rFonts w:hint="eastAsia" w:ascii="仿宋_GB2312" w:hAnsi="宋体"/>
          <w:bCs/>
          <w:color w:val="000000" w:themeColor="text1"/>
          <w:sz w:val="28"/>
          <w:szCs w:val="28"/>
          <w14:textFill>
            <w14:solidFill>
              <w14:schemeClr w14:val="tx1"/>
            </w14:solidFill>
          </w14:textFill>
        </w:rPr>
        <w:t>榕政综〔20</w:t>
      </w:r>
      <w:r>
        <w:rPr>
          <w:rFonts w:hint="eastAsia" w:ascii="仿宋_GB2312" w:hAnsi="宋体"/>
          <w:bCs/>
          <w:color w:val="000000" w:themeColor="text1"/>
          <w:sz w:val="28"/>
          <w:szCs w:val="28"/>
          <w:lang w:val="en-US" w:eastAsia="zh-CN"/>
          <w14:textFill>
            <w14:solidFill>
              <w14:schemeClr w14:val="tx1"/>
            </w14:solidFill>
          </w14:textFill>
        </w:rPr>
        <w:t>20</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117</w:t>
      </w:r>
      <w:r>
        <w:rPr>
          <w:rFonts w:hint="eastAsia" w:ascii="仿宋_GB2312" w:hAnsi="宋体"/>
          <w:bCs/>
          <w:color w:val="000000" w:themeColor="text1"/>
          <w:sz w:val="28"/>
          <w:szCs w:val="28"/>
          <w14:textFill>
            <w14:solidFill>
              <w14:schemeClr w14:val="tx1"/>
            </w14:solidFill>
          </w14:textFill>
        </w:rPr>
        <w:t>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244" w:type="pct"/>
        <w:jc w:val="center"/>
        <w:tblLayout w:type="fixed"/>
        <w:tblCellMar>
          <w:top w:w="0" w:type="dxa"/>
          <w:left w:w="0" w:type="dxa"/>
          <w:bottom w:w="0" w:type="dxa"/>
          <w:right w:w="0" w:type="dxa"/>
        </w:tblCellMar>
      </w:tblPr>
      <w:tblGrid>
        <w:gridCol w:w="1900"/>
        <w:gridCol w:w="2032"/>
        <w:gridCol w:w="1496"/>
        <w:gridCol w:w="826"/>
        <w:gridCol w:w="826"/>
        <w:gridCol w:w="826"/>
        <w:gridCol w:w="826"/>
      </w:tblGrid>
      <w:tr>
        <w:tblPrEx>
          <w:tblCellMar>
            <w:top w:w="0" w:type="dxa"/>
            <w:left w:w="0" w:type="dxa"/>
            <w:bottom w:w="0" w:type="dxa"/>
            <w:right w:w="0" w:type="dxa"/>
          </w:tblCellMar>
        </w:tblPrEx>
        <w:trPr>
          <w:trHeight w:val="340" w:hRule="atLeast"/>
          <w:jc w:val="center"/>
        </w:trPr>
        <w:tc>
          <w:tcPr>
            <w:tcW w:w="1088"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hd w:val="clear" w:color="auto" w:fill="FFFFFF"/>
              <w:jc w:val="center"/>
              <w:rPr>
                <w:rFonts w:hint="eastAsia" w:ascii="仿宋_GB2312" w:hAnsi="Times New Roman" w:cs="Times New Roman"/>
                <w:color w:val="auto"/>
                <w:sz w:val="24"/>
                <w:szCs w:val="22"/>
                <w:lang w:val="en-US" w:eastAsia="zh-CN"/>
              </w:rPr>
            </w:pPr>
            <w:r>
              <w:rPr>
                <w:rFonts w:hint="eastAsia" w:ascii="仿宋_GB2312" w:hAnsi="Times New Roman" w:cs="Times New Roman"/>
                <w:color w:val="auto"/>
                <w:sz w:val="24"/>
                <w:szCs w:val="22"/>
                <w:lang w:eastAsia="zh-CN"/>
              </w:rPr>
              <w:t>1</w:t>
            </w:r>
            <w:r>
              <w:rPr>
                <w:rFonts w:hint="eastAsia" w:ascii="仿宋_GB2312" w:hAnsi="Times New Roman" w:cs="Times New Roman"/>
                <w:color w:val="auto"/>
                <w:sz w:val="24"/>
                <w:szCs w:val="22"/>
                <w:lang w:val="en-US" w:eastAsia="zh-CN"/>
              </w:rPr>
              <w:t>-2</w:t>
            </w:r>
            <w:r>
              <w:rPr>
                <w:rFonts w:hint="eastAsia" w:ascii="仿宋_GB2312" w:hAnsi="Times New Roman" w:cs="Times New Roman"/>
                <w:color w:val="auto"/>
                <w:sz w:val="24"/>
                <w:szCs w:val="22"/>
                <w:lang w:eastAsia="zh-CN"/>
              </w:rPr>
              <w:t>#</w:t>
            </w:r>
            <w:r>
              <w:rPr>
                <w:rFonts w:hint="eastAsia" w:ascii="仿宋_GB2312" w:hAnsi="Times New Roman" w:cs="Times New Roman"/>
                <w:color w:val="auto"/>
                <w:sz w:val="24"/>
                <w:szCs w:val="22"/>
                <w:lang w:val="en-US" w:eastAsia="zh-CN"/>
              </w:rPr>
              <w:t>、9#楼</w:t>
            </w:r>
          </w:p>
          <w:p>
            <w:pPr>
              <w:spacing w:line="240" w:lineRule="auto"/>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_GB2312"/>
                <w:color w:val="auto"/>
                <w:sz w:val="24"/>
                <w:szCs w:val="22"/>
                <w:lang w:eastAsia="zh-CN"/>
              </w:rPr>
              <w:t>建筑组团</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hint="eastAsia" w:ascii="仿宋" w:hAnsi="仿宋" w:eastAsia="仿宋" w:cs="仿宋"/>
                <w:bCs/>
                <w:color w:val="000000" w:themeColor="text1"/>
                <w:sz w:val="24"/>
                <w14:textFill>
                  <w14:solidFill>
                    <w14:schemeClr w14:val="tx1"/>
                  </w14:solidFill>
                </w14:textFill>
              </w:rPr>
            </w:pPr>
            <w:r>
              <w:rPr>
                <w:rFonts w:hint="eastAsia" w:ascii="仿宋_GB2312" w:hAnsi="Times New Roman" w:cs="Times New Roman"/>
                <w:color w:val="auto"/>
                <w:sz w:val="24"/>
                <w:szCs w:val="22"/>
              </w:rPr>
              <w:t>2#</w:t>
            </w:r>
            <w:r>
              <w:rPr>
                <w:rFonts w:hint="eastAsia" w:ascii="仿宋_GB2312" w:hAnsi="Times New Roman" w:cs="Times New Roman"/>
                <w:color w:val="auto"/>
                <w:sz w:val="24"/>
                <w:szCs w:val="22"/>
                <w:lang w:eastAsia="zh-CN"/>
              </w:rPr>
              <w:t>楼</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宋体"/>
                <w:color w:val="auto"/>
                <w:sz w:val="24"/>
                <w:szCs w:val="24"/>
              </w:rPr>
              <w:t>3</w:t>
            </w:r>
            <w:r>
              <w:rPr>
                <w:rFonts w:hint="eastAsia" w:ascii="仿宋" w:hAnsi="仿宋" w:eastAsia="仿宋" w:cs="宋体"/>
                <w:color w:val="auto"/>
                <w:sz w:val="24"/>
                <w:szCs w:val="24"/>
                <w:lang w:val="en-US" w:eastAsia="zh-CN"/>
              </w:rPr>
              <w:t>-1</w:t>
            </w:r>
            <w:r>
              <w:rPr>
                <w:rFonts w:hint="eastAsia" w:ascii="仿宋" w:hAnsi="仿宋" w:eastAsia="仿宋" w:cs="宋体"/>
                <w:color w:val="auto"/>
                <w:sz w:val="24"/>
                <w:szCs w:val="24"/>
              </w:rPr>
              <w:t>#楼</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宋体"/>
                <w:color w:val="auto"/>
                <w:sz w:val="24"/>
                <w:szCs w:val="24"/>
                <w:lang w:val="en-US" w:eastAsia="zh-CN"/>
              </w:rPr>
              <w:t>3-3</w:t>
            </w:r>
            <w:r>
              <w:rPr>
                <w:rFonts w:hint="eastAsia" w:ascii="仿宋" w:hAnsi="仿宋" w:eastAsia="仿宋" w:cs="宋体"/>
                <w:color w:val="auto"/>
                <w:sz w:val="24"/>
                <w:szCs w:val="24"/>
              </w:rPr>
              <w:t>#楼</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宋体"/>
                <w:color w:val="auto"/>
                <w:sz w:val="24"/>
                <w:szCs w:val="24"/>
              </w:rPr>
              <w:t>7#楼</w:t>
            </w:r>
          </w:p>
        </w:tc>
      </w:tr>
      <w:tr>
        <w:tblPrEx>
          <w:tblCellMar>
            <w:top w:w="0" w:type="dxa"/>
            <w:left w:w="0" w:type="dxa"/>
            <w:bottom w:w="0" w:type="dxa"/>
            <w:right w:w="0" w:type="dxa"/>
          </w:tblCellMar>
        </w:tblPrEx>
        <w:trPr>
          <w:cantSplit/>
          <w:trHeight w:val="340" w:hRule="atLeast"/>
          <w:jc w:val="center"/>
        </w:trPr>
        <w:tc>
          <w:tcPr>
            <w:tcW w:w="1088"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水平预制构件</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30.1</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31.5</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30.9</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28.4</w:t>
            </w:r>
          </w:p>
        </w:tc>
      </w:tr>
      <w:tr>
        <w:tblPrEx>
          <w:tblCellMar>
            <w:top w:w="0" w:type="dxa"/>
            <w:left w:w="0" w:type="dxa"/>
            <w:bottom w:w="0" w:type="dxa"/>
            <w:right w:w="0" w:type="dxa"/>
          </w:tblCellMar>
        </w:tblPrEx>
        <w:trPr>
          <w:trHeight w:val="340" w:hRule="atLeast"/>
          <w:jc w:val="center"/>
        </w:trPr>
        <w:tc>
          <w:tcPr>
            <w:tcW w:w="1088"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1088"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r>
      <w:tr>
        <w:tblPrEx>
          <w:tblCellMar>
            <w:top w:w="0" w:type="dxa"/>
            <w:left w:w="0" w:type="dxa"/>
            <w:bottom w:w="0" w:type="dxa"/>
            <w:right w:w="0" w:type="dxa"/>
          </w:tblCellMar>
        </w:tblPrEx>
        <w:trPr>
          <w:trHeight w:val="340" w:hRule="atLeast"/>
          <w:jc w:val="center"/>
        </w:trPr>
        <w:tc>
          <w:tcPr>
            <w:tcW w:w="108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251"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856"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72"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72" w:type="pct"/>
            <w:tcBorders>
              <w:top w:val="single" w:color="auto" w:sz="4" w:space="0"/>
              <w:left w:val="single" w:color="auto" w:sz="4" w:space="0"/>
              <w:bottom w:val="single" w:color="auto" w:sz="4" w:space="0"/>
              <w:right w:val="single" w:color="auto" w:sz="4"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72"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72"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1088"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1088"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1088"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16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w:t>
            </w:r>
            <w:r>
              <w:rPr>
                <w:rFonts w:hint="eastAsia" w:ascii="仿宋" w:hAnsi="仿宋" w:eastAsia="仿宋" w:cs="仿宋"/>
                <w:bCs/>
                <w:color w:val="000000" w:themeColor="text1"/>
                <w:sz w:val="24"/>
                <w:lang w:eastAsia="zh-CN"/>
                <w14:textFill>
                  <w14:solidFill>
                    <w14:schemeClr w14:val="tx1"/>
                  </w14:solidFill>
                </w14:textFill>
              </w:rPr>
              <w:t>管理</w:t>
            </w:r>
            <w:r>
              <w:rPr>
                <w:rFonts w:hint="eastAsia" w:ascii="仿宋" w:hAnsi="仿宋" w:eastAsia="仿宋" w:cs="仿宋"/>
                <w:bCs/>
                <w:color w:val="000000" w:themeColor="text1"/>
                <w:sz w:val="24"/>
                <w14:textFill>
                  <w14:solidFill>
                    <w14:schemeClr w14:val="tx1"/>
                  </w14:solidFill>
                </w14:textFill>
              </w:rPr>
              <w:t>系统</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25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50.1</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51.5</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50.9</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50.4</w:t>
            </w:r>
          </w:p>
        </w:tc>
      </w:tr>
      <w:tr>
        <w:tblPrEx>
          <w:tblCellMar>
            <w:top w:w="0" w:type="dxa"/>
            <w:left w:w="0" w:type="dxa"/>
            <w:bottom w:w="0" w:type="dxa"/>
            <w:right w:w="0" w:type="dxa"/>
          </w:tblCellMar>
        </w:tblPrEx>
        <w:trPr>
          <w:trHeight w:val="340" w:hRule="atLeast"/>
          <w:jc w:val="center"/>
        </w:trPr>
        <w:tc>
          <w:tcPr>
            <w:tcW w:w="225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85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52%</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7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r>
    </w:tbl>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_GB2312" w:hAnsi="宋体"/>
          <w:bCs/>
          <w:color w:val="000000" w:themeColor="text1"/>
          <w:sz w:val="28"/>
          <w:szCs w:val="28"/>
          <w:lang w:eastAsia="zh-CN"/>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施工图设计文件已通过审图机构审查。审查机构：福建省建科院施工图审查有限公司</w:t>
      </w:r>
      <w:r>
        <w:rPr>
          <w:rFonts w:hint="eastAsia" w:ascii="仿宋_GB2312" w:hAnsi="宋体"/>
          <w:bCs/>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color w:val="000000" w:themeColor="text1"/>
          <w:sz w:val="24"/>
          <w:szCs w:val="2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合格证编号: 3501112106020105-TX-003。</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与会专家听取了福建博宇建筑设计有限公司及建设单位对</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(1)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lang w:val="en-US" w:eastAsia="zh-CN"/>
          <w14:textFill>
            <w14:solidFill>
              <w14:schemeClr w14:val="tx1"/>
            </w14:solidFill>
          </w14:textFill>
        </w:rPr>
        <w:t>装配式建造的建筑</w:t>
      </w:r>
      <w:r>
        <w:rPr>
          <w:rFonts w:hint="eastAsia" w:ascii="仿宋_GB2312" w:hAnsi="宋体"/>
          <w:bCs/>
          <w:color w:val="000000" w:themeColor="text1"/>
          <w:sz w:val="28"/>
          <w:szCs w:val="28"/>
          <w14:textFill>
            <w14:solidFill>
              <w14:schemeClr w14:val="tx1"/>
            </w14:solidFill>
          </w14:textFill>
        </w:rPr>
        <w:t>面积不小于总建筑面积计容部分</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扣除自持租赁住房计容面积10909.73㎡</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的50%，满足福州市人民政府文件榕政综〔2017〕1164号</w:t>
      </w:r>
      <w:r>
        <w:rPr>
          <w:rFonts w:hint="eastAsia" w:ascii="仿宋_GB2312" w:hAnsi="宋体"/>
          <w:bCs/>
          <w:color w:val="000000" w:themeColor="text1"/>
          <w:sz w:val="28"/>
          <w:szCs w:val="28"/>
          <w:lang w:val="en-US" w:eastAsia="zh-CN"/>
          <w14:textFill>
            <w14:solidFill>
              <w14:schemeClr w14:val="tx1"/>
            </w14:solidFill>
          </w14:textFill>
        </w:rPr>
        <w:t>文件</w:t>
      </w:r>
      <w:r>
        <w:rPr>
          <w:rFonts w:hint="eastAsia" w:ascii="仿宋_GB2312" w:hAnsi="宋体"/>
          <w:bCs/>
          <w:color w:val="000000" w:themeColor="text1"/>
          <w:sz w:val="28"/>
          <w:szCs w:val="28"/>
          <w14:textFill>
            <w14:solidFill>
              <w14:schemeClr w14:val="tx1"/>
            </w14:solidFill>
          </w14:textFill>
        </w:rPr>
        <w:t>的相关规定，且满足</w:t>
      </w:r>
      <w:r>
        <w:rPr>
          <w:rFonts w:hint="eastAsia" w:ascii="仿宋_GB2312" w:hAnsi="宋体"/>
          <w:bCs/>
          <w:color w:val="000000" w:themeColor="text1"/>
          <w:sz w:val="28"/>
          <w:szCs w:val="28"/>
          <w:lang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w:t>
      </w:r>
      <w:r>
        <w:rPr>
          <w:rFonts w:hint="eastAsia" w:ascii="仿宋_GB2312" w:hAnsi="宋体"/>
          <w:bCs/>
          <w:color w:val="000000" w:themeColor="text1"/>
          <w:sz w:val="28"/>
          <w:szCs w:val="28"/>
          <w:lang w:val="en-US" w:eastAsia="zh-CN"/>
          <w14:textFill>
            <w14:solidFill>
              <w14:schemeClr w14:val="tx1"/>
            </w14:solidFill>
          </w14:textFill>
        </w:rPr>
        <w:t>国有建设用地使用权出</w:t>
      </w:r>
      <w:r>
        <w:rPr>
          <w:rFonts w:hint="eastAsia" w:ascii="仿宋_GB2312" w:hAnsi="宋体"/>
          <w:bCs/>
          <w:color w:val="000000" w:themeColor="text1"/>
          <w:sz w:val="28"/>
          <w:szCs w:val="28"/>
          <w14:textFill>
            <w14:solidFill>
              <w14:schemeClr w14:val="tx1"/>
            </w14:solidFill>
          </w14:textFill>
        </w:rPr>
        <w:t>让合同</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合同编号：35010020210512P015</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相关要求。</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(2) </w:t>
      </w:r>
      <w:r>
        <w:rPr>
          <w:rFonts w:hint="eastAsia" w:ascii="仿宋_GB2312" w:hAnsi="宋体"/>
          <w:bCs/>
          <w:color w:val="000000" w:themeColor="text1"/>
          <w:sz w:val="28"/>
          <w:szCs w:val="28"/>
          <w:lang w:eastAsia="zh-CN"/>
          <w14:textFill>
            <w14:solidFill>
              <w14:schemeClr w14:val="tx1"/>
            </w14:solidFill>
          </w14:textFill>
        </w:rPr>
        <w:t>该工程1</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lang w:eastAsia="zh-CN"/>
          <w14:textFill>
            <w14:solidFill>
              <w14:schemeClr w14:val="tx1"/>
            </w14:solidFill>
          </w14:textFill>
        </w:rPr>
        <w:t>#、2#、3</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3-3</w:t>
      </w:r>
      <w:r>
        <w:rPr>
          <w:rFonts w:hint="eastAsia" w:ascii="仿宋_GB2312" w:hAnsi="宋体"/>
          <w:bCs/>
          <w:color w:val="000000" w:themeColor="text1"/>
          <w:sz w:val="28"/>
          <w:szCs w:val="28"/>
          <w:lang w:eastAsia="zh-CN"/>
          <w14:textFill>
            <w14:solidFill>
              <w14:schemeClr w14:val="tx1"/>
            </w14:solidFill>
          </w14:textFill>
        </w:rPr>
        <w:t>#、7#、</w:t>
      </w:r>
      <w:r>
        <w:rPr>
          <w:rFonts w:hint="eastAsia" w:ascii="仿宋_GB2312" w:hAnsi="宋体"/>
          <w:bCs/>
          <w:color w:val="000000" w:themeColor="text1"/>
          <w:sz w:val="28"/>
          <w:szCs w:val="28"/>
          <w:lang w:val="en-US" w:eastAsia="zh-CN"/>
          <w14:textFill>
            <w14:solidFill>
              <w14:schemeClr w14:val="tx1"/>
            </w14:solidFill>
          </w14:textFill>
        </w:rPr>
        <w:t>9</w:t>
      </w:r>
      <w:r>
        <w:rPr>
          <w:rFonts w:hint="eastAsia" w:ascii="仿宋_GB2312" w:hAnsi="宋体"/>
          <w:bCs/>
          <w:color w:val="000000" w:themeColor="text1"/>
          <w:sz w:val="28"/>
          <w:szCs w:val="28"/>
          <w:lang w:eastAsia="zh-CN"/>
          <w14:textFill>
            <w14:solidFill>
              <w14:schemeClr w14:val="tx1"/>
            </w14:solidFill>
          </w14:textFill>
        </w:rPr>
        <w:t>#楼</w:t>
      </w:r>
      <w:r>
        <w:rPr>
          <w:rFonts w:hint="eastAsia" w:ascii="仿宋_GB2312" w:hAnsi="宋体"/>
          <w:bCs/>
          <w:color w:val="000000" w:themeColor="text1"/>
          <w:sz w:val="28"/>
          <w:szCs w:val="28"/>
          <w14:textFill>
            <w14:solidFill>
              <w14:schemeClr w14:val="tx1"/>
            </w14:solidFill>
          </w14:textFill>
        </w:rPr>
        <w:t>装配式建筑设计相关资料完整，其主体结构、围护墙和内隔墙、技术创新部分的分值均不低于最低分值要求，各单体建筑装配率均不低于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w:t>
      </w:r>
      <w:r>
        <w:rPr>
          <w:rFonts w:hint="eastAsia" w:ascii="仿宋_GB2312" w:hAnsi="宋体"/>
          <w:bCs/>
          <w:color w:val="000000" w:themeColor="text1"/>
          <w:sz w:val="28"/>
          <w:szCs w:val="28"/>
          <w:lang w:eastAsia="zh-CN"/>
          <w14:textFill>
            <w14:solidFill>
              <w14:schemeClr w14:val="tx1"/>
            </w14:solidFill>
          </w14:textFill>
        </w:rPr>
        <w:t>该工程1</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lang w:eastAsia="zh-CN"/>
          <w14:textFill>
            <w14:solidFill>
              <w14:schemeClr w14:val="tx1"/>
            </w14:solidFill>
          </w14:textFill>
        </w:rPr>
        <w:t>#、2#、3</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3-3</w:t>
      </w:r>
      <w:r>
        <w:rPr>
          <w:rFonts w:hint="eastAsia" w:ascii="仿宋_GB2312" w:hAnsi="宋体"/>
          <w:bCs/>
          <w:color w:val="000000" w:themeColor="text1"/>
          <w:sz w:val="28"/>
          <w:szCs w:val="28"/>
          <w:lang w:eastAsia="zh-CN"/>
          <w14:textFill>
            <w14:solidFill>
              <w14:schemeClr w14:val="tx1"/>
            </w14:solidFill>
          </w14:textFill>
        </w:rPr>
        <w:t>#、7#、</w:t>
      </w:r>
      <w:r>
        <w:rPr>
          <w:rFonts w:hint="eastAsia" w:ascii="仿宋_GB2312" w:hAnsi="宋体"/>
          <w:bCs/>
          <w:color w:val="000000" w:themeColor="text1"/>
          <w:sz w:val="28"/>
          <w:szCs w:val="28"/>
          <w:lang w:val="en-US" w:eastAsia="zh-CN"/>
          <w14:textFill>
            <w14:solidFill>
              <w14:schemeClr w14:val="tx1"/>
            </w14:solidFill>
          </w14:textFill>
        </w:rPr>
        <w:t>9</w:t>
      </w:r>
      <w:r>
        <w:rPr>
          <w:rFonts w:hint="eastAsia" w:ascii="仿宋_GB2312" w:hAnsi="宋体"/>
          <w:bCs/>
          <w:color w:val="000000" w:themeColor="text1"/>
          <w:sz w:val="28"/>
          <w:szCs w:val="28"/>
          <w:lang w:eastAsia="zh-CN"/>
          <w14:textFill>
            <w14:solidFill>
              <w14:schemeClr w14:val="tx1"/>
            </w14:solidFill>
          </w14:textFill>
        </w:rPr>
        <w:t>#楼</w:t>
      </w:r>
      <w:r>
        <w:rPr>
          <w:rFonts w:hint="eastAsia" w:ascii="仿宋_GB2312" w:hAnsi="宋体"/>
          <w:bCs/>
          <w:color w:val="000000" w:themeColor="text1"/>
          <w:sz w:val="28"/>
          <w:szCs w:val="28"/>
          <w14:textFill>
            <w14:solidFill>
              <w14:schemeClr w14:val="tx1"/>
            </w14:solidFill>
          </w14:textFill>
        </w:rPr>
        <w:t>设计阶段</w:t>
      </w:r>
      <w:r>
        <w:rPr>
          <w:rFonts w:hint="eastAsia" w:ascii="仿宋_GB2312" w:hAnsi="宋体"/>
          <w:bCs/>
          <w:color w:val="000000" w:themeColor="text1"/>
          <w:sz w:val="28"/>
          <w:szCs w:val="28"/>
          <w:lang w:val="en-US" w:eastAsia="zh-CN"/>
          <w14:textFill>
            <w14:solidFill>
              <w14:schemeClr w14:val="tx1"/>
            </w14:solidFill>
          </w14:textFill>
        </w:rPr>
        <w:t>预</w:t>
      </w:r>
      <w:r>
        <w:rPr>
          <w:rFonts w:hint="eastAsia" w:ascii="仿宋_GB2312" w:hAnsi="宋体"/>
          <w:bCs/>
          <w:color w:val="000000" w:themeColor="text1"/>
          <w:sz w:val="28"/>
          <w:szCs w:val="28"/>
          <w14:textFill>
            <w14:solidFill>
              <w14:schemeClr w14:val="tx1"/>
            </w14:solidFill>
          </w14:textFill>
        </w:rPr>
        <w:t>评价为装配式建筑。</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仿宋_GB2312" w:hAnsi="宋体" w:eastAsia="仿宋_GB2312"/>
          <w:bCs/>
          <w:color w:val="000000" w:themeColor="text1"/>
          <w:sz w:val="32"/>
          <w:szCs w:val="32"/>
          <w:lang w:eastAsia="zh-CN"/>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bookmarkStart w:id="1" w:name="_GoBack"/>
      <w:bookmarkEnd w:id="1"/>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_GB2312" w:hAnsi="宋体"/>
          <w:bCs/>
          <w:color w:val="000000" w:themeColor="text1"/>
          <w:sz w:val="28"/>
          <w:szCs w:val="28"/>
          <w14:textFill>
            <w14:solidFill>
              <w14:schemeClr w14:val="tx1"/>
            </w14:solidFill>
          </w14:textFill>
        </w:rPr>
      </w:pPr>
      <w:bookmarkStart w:id="0" w:name="_Hlk37145059"/>
      <w:r>
        <w:rPr>
          <w:rFonts w:hint="eastAsia" w:ascii="仿宋_GB2312" w:hAnsi="宋体"/>
          <w:bCs/>
          <w:color w:val="000000" w:themeColor="text1"/>
          <w:sz w:val="28"/>
          <w:szCs w:val="28"/>
          <w14:textFill>
            <w14:solidFill>
              <w14:schemeClr w14:val="tx1"/>
            </w14:solidFill>
          </w14:textFill>
        </w:rPr>
        <w:t>郑卫基   教授级高工</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 xml:space="preserve">福建省建筑工程技术中心        </w:t>
      </w:r>
    </w:p>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翁锦华   教授级高工</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 xml:space="preserve">福州市建筑设计院有限责任公司   </w:t>
      </w:r>
    </w:p>
    <w:bookmarkEnd w:id="0"/>
    <w:p>
      <w:pPr>
        <w:keepNext w:val="0"/>
        <w:keepLines w:val="0"/>
        <w:pageBreakBefore w:val="0"/>
        <w:widowControl/>
        <w:kinsoku/>
        <w:wordWrap/>
        <w:overflowPunct/>
        <w:topLinePunct w:val="0"/>
        <w:autoSpaceDE/>
        <w:autoSpaceDN/>
        <w:bidi w:val="0"/>
        <w:adjustRightInd/>
        <w:snapToGrid/>
        <w:spacing w:line="480" w:lineRule="exact"/>
        <w:jc w:val="both"/>
        <w:textAlignment w:val="auto"/>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张雅杰</w:t>
      </w:r>
      <w:r>
        <w:rPr>
          <w:rFonts w:hint="eastAsia" w:ascii="仿宋_GB2312" w:hAnsi="宋体"/>
          <w:bCs/>
          <w:color w:val="000000" w:themeColor="text1"/>
          <w:sz w:val="28"/>
          <w:szCs w:val="28"/>
          <w14:textFill>
            <w14:solidFill>
              <w14:schemeClr w14:val="tx1"/>
            </w14:solidFill>
          </w14:textFill>
        </w:rPr>
        <w:t xml:space="preserve">   工程师</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福建建工装配式建筑研究院有限公司</w:t>
      </w:r>
      <w:r>
        <w:rPr>
          <w:rFonts w:hint="eastAsia"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80" w:lineRule="exact"/>
        <w:jc w:val="right"/>
        <w:textAlignment w:val="auto"/>
        <w:rPr>
          <w:rFonts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202</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 xml:space="preserve">年 </w:t>
      </w:r>
      <w:r>
        <w:rPr>
          <w:rFonts w:hint="eastAsia" w:ascii="仿宋_GB2312" w:hAnsi="宋体"/>
          <w:bCs/>
          <w:color w:val="000000" w:themeColor="text1"/>
          <w:sz w:val="28"/>
          <w:szCs w:val="28"/>
          <w:lang w:val="en-US" w:eastAsia="zh-CN"/>
          <w14:textFill>
            <w14:solidFill>
              <w14:schemeClr w14:val="tx1"/>
            </w14:solidFill>
          </w14:textFill>
        </w:rPr>
        <w:t>03</w:t>
      </w:r>
      <w:r>
        <w:rPr>
          <w:rFonts w:hint="eastAsia" w:ascii="仿宋_GB2312" w:hAnsi="宋体"/>
          <w:bCs/>
          <w:color w:val="000000" w:themeColor="text1"/>
          <w:sz w:val="28"/>
          <w:szCs w:val="28"/>
          <w14:textFill>
            <w14:solidFill>
              <w14:schemeClr w14:val="tx1"/>
            </w14:solidFill>
          </w14:textFill>
        </w:rPr>
        <w:t xml:space="preserve">月 </w:t>
      </w:r>
      <w:r>
        <w:rPr>
          <w:rFonts w:hint="eastAsia" w:ascii="仿宋_GB2312" w:hAnsi="宋体"/>
          <w:bCs/>
          <w:color w:val="000000" w:themeColor="text1"/>
          <w:sz w:val="28"/>
          <w:szCs w:val="28"/>
          <w:lang w:val="en-US" w:eastAsia="zh-CN"/>
          <w14:textFill>
            <w14:solidFill>
              <w14:schemeClr w14:val="tx1"/>
            </w14:solidFill>
          </w14:textFill>
        </w:rPr>
        <w:t>02</w:t>
      </w:r>
      <w:r>
        <w:rPr>
          <w:rFonts w:hint="eastAsia" w:ascii="仿宋_GB2312" w:hAnsi="宋体"/>
          <w:bCs/>
          <w:color w:val="000000" w:themeColor="text1"/>
          <w:sz w:val="28"/>
          <w:szCs w:val="28"/>
          <w14:textFill>
            <w14:solidFill>
              <w14:schemeClr w14:val="tx1"/>
            </w14:solidFill>
          </w14:textFill>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5380"/>
    <w:rsid w:val="0017310D"/>
    <w:rsid w:val="00183BD2"/>
    <w:rsid w:val="00194C1F"/>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207BF"/>
    <w:rsid w:val="00631A3C"/>
    <w:rsid w:val="00637807"/>
    <w:rsid w:val="0064431A"/>
    <w:rsid w:val="0065227A"/>
    <w:rsid w:val="00655515"/>
    <w:rsid w:val="006700FC"/>
    <w:rsid w:val="00672469"/>
    <w:rsid w:val="00683C5D"/>
    <w:rsid w:val="006917C5"/>
    <w:rsid w:val="0069432D"/>
    <w:rsid w:val="006A2D8E"/>
    <w:rsid w:val="006B3BF2"/>
    <w:rsid w:val="006E5018"/>
    <w:rsid w:val="006E72C0"/>
    <w:rsid w:val="00716E46"/>
    <w:rsid w:val="00720B01"/>
    <w:rsid w:val="007244D2"/>
    <w:rsid w:val="00725480"/>
    <w:rsid w:val="00737193"/>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2374"/>
    <w:rsid w:val="008D34F1"/>
    <w:rsid w:val="008E68D6"/>
    <w:rsid w:val="008E7AA0"/>
    <w:rsid w:val="008F443E"/>
    <w:rsid w:val="008F4FA7"/>
    <w:rsid w:val="00951DA6"/>
    <w:rsid w:val="00954523"/>
    <w:rsid w:val="0097603E"/>
    <w:rsid w:val="00977FE9"/>
    <w:rsid w:val="00996017"/>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78F1"/>
    <w:rsid w:val="00E73862"/>
    <w:rsid w:val="00E74B2C"/>
    <w:rsid w:val="00E9304E"/>
    <w:rsid w:val="00E97743"/>
    <w:rsid w:val="00EA2F13"/>
    <w:rsid w:val="00EB3C07"/>
    <w:rsid w:val="00EC3F63"/>
    <w:rsid w:val="00EC740C"/>
    <w:rsid w:val="00EE00A5"/>
    <w:rsid w:val="00F06F3C"/>
    <w:rsid w:val="00F1702A"/>
    <w:rsid w:val="00F26D4E"/>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CE7EAB"/>
    <w:rsid w:val="03151AC3"/>
    <w:rsid w:val="06B17687"/>
    <w:rsid w:val="0860640D"/>
    <w:rsid w:val="0BF36FF7"/>
    <w:rsid w:val="0C364933"/>
    <w:rsid w:val="0C540555"/>
    <w:rsid w:val="0C8925FB"/>
    <w:rsid w:val="0CE71176"/>
    <w:rsid w:val="0D7350F2"/>
    <w:rsid w:val="0FEB62E3"/>
    <w:rsid w:val="10527066"/>
    <w:rsid w:val="10C16F37"/>
    <w:rsid w:val="12750247"/>
    <w:rsid w:val="130B3D11"/>
    <w:rsid w:val="144619ED"/>
    <w:rsid w:val="147C11FC"/>
    <w:rsid w:val="14B053A7"/>
    <w:rsid w:val="1539655D"/>
    <w:rsid w:val="153B386D"/>
    <w:rsid w:val="15F0183D"/>
    <w:rsid w:val="16940223"/>
    <w:rsid w:val="170008E4"/>
    <w:rsid w:val="181025D6"/>
    <w:rsid w:val="1A4816C0"/>
    <w:rsid w:val="1A4C6BBB"/>
    <w:rsid w:val="1C471301"/>
    <w:rsid w:val="1DC21729"/>
    <w:rsid w:val="1DCC4B11"/>
    <w:rsid w:val="1FA3511C"/>
    <w:rsid w:val="1FB05D3B"/>
    <w:rsid w:val="2114547D"/>
    <w:rsid w:val="222375F7"/>
    <w:rsid w:val="227F5EAB"/>
    <w:rsid w:val="2304780B"/>
    <w:rsid w:val="249F0B72"/>
    <w:rsid w:val="25297BA2"/>
    <w:rsid w:val="258716CB"/>
    <w:rsid w:val="27C5207C"/>
    <w:rsid w:val="288A2A7D"/>
    <w:rsid w:val="28DD5895"/>
    <w:rsid w:val="29E56E87"/>
    <w:rsid w:val="29F13054"/>
    <w:rsid w:val="2A763612"/>
    <w:rsid w:val="2AEF07D4"/>
    <w:rsid w:val="2E0E3CD2"/>
    <w:rsid w:val="2EB441D0"/>
    <w:rsid w:val="2F2A0283"/>
    <w:rsid w:val="32AA10B9"/>
    <w:rsid w:val="32E9567C"/>
    <w:rsid w:val="35FF5A86"/>
    <w:rsid w:val="36307512"/>
    <w:rsid w:val="36520928"/>
    <w:rsid w:val="36CC4C76"/>
    <w:rsid w:val="370016E2"/>
    <w:rsid w:val="38A1306C"/>
    <w:rsid w:val="39BA2A24"/>
    <w:rsid w:val="3A3C6C98"/>
    <w:rsid w:val="3A957C68"/>
    <w:rsid w:val="3B890113"/>
    <w:rsid w:val="3BDA5482"/>
    <w:rsid w:val="3C4A2BDA"/>
    <w:rsid w:val="3D7F5855"/>
    <w:rsid w:val="3DDE15E1"/>
    <w:rsid w:val="3DFF487C"/>
    <w:rsid w:val="3E612243"/>
    <w:rsid w:val="3FF52BA4"/>
    <w:rsid w:val="40036ADB"/>
    <w:rsid w:val="42984D94"/>
    <w:rsid w:val="42DF3068"/>
    <w:rsid w:val="43B66D3F"/>
    <w:rsid w:val="43CC6C26"/>
    <w:rsid w:val="452C451B"/>
    <w:rsid w:val="486662B1"/>
    <w:rsid w:val="48DB0A9A"/>
    <w:rsid w:val="49197B3C"/>
    <w:rsid w:val="495070E8"/>
    <w:rsid w:val="49604A66"/>
    <w:rsid w:val="4BB20089"/>
    <w:rsid w:val="4C1A4DC8"/>
    <w:rsid w:val="4C6B4EF9"/>
    <w:rsid w:val="4CCB5754"/>
    <w:rsid w:val="4D026D32"/>
    <w:rsid w:val="4D2C74CB"/>
    <w:rsid w:val="4D9E569D"/>
    <w:rsid w:val="4FE64EF3"/>
    <w:rsid w:val="504A0E65"/>
    <w:rsid w:val="50675880"/>
    <w:rsid w:val="50C51AFA"/>
    <w:rsid w:val="53083639"/>
    <w:rsid w:val="539A53CE"/>
    <w:rsid w:val="53F0314D"/>
    <w:rsid w:val="54686BAD"/>
    <w:rsid w:val="586E624C"/>
    <w:rsid w:val="5A7A1531"/>
    <w:rsid w:val="5B9E0AC4"/>
    <w:rsid w:val="5C040C64"/>
    <w:rsid w:val="5C446113"/>
    <w:rsid w:val="5D2141E0"/>
    <w:rsid w:val="5D633F30"/>
    <w:rsid w:val="5E271827"/>
    <w:rsid w:val="5E797F0D"/>
    <w:rsid w:val="5F291774"/>
    <w:rsid w:val="5F31024D"/>
    <w:rsid w:val="5F43625E"/>
    <w:rsid w:val="5F6E2F1E"/>
    <w:rsid w:val="5FED1447"/>
    <w:rsid w:val="60FC3854"/>
    <w:rsid w:val="61DB24C0"/>
    <w:rsid w:val="62064B2C"/>
    <w:rsid w:val="62CA3B2A"/>
    <w:rsid w:val="62D30DE0"/>
    <w:rsid w:val="65462B98"/>
    <w:rsid w:val="66AA3B93"/>
    <w:rsid w:val="66F2063F"/>
    <w:rsid w:val="672D4B1D"/>
    <w:rsid w:val="678F5EDC"/>
    <w:rsid w:val="67B13784"/>
    <w:rsid w:val="67D60C4A"/>
    <w:rsid w:val="686B09A7"/>
    <w:rsid w:val="68850F92"/>
    <w:rsid w:val="68C838C6"/>
    <w:rsid w:val="6B2D53B2"/>
    <w:rsid w:val="6BC6086A"/>
    <w:rsid w:val="6C26114A"/>
    <w:rsid w:val="6D047463"/>
    <w:rsid w:val="6E242CF9"/>
    <w:rsid w:val="6EA63CD8"/>
    <w:rsid w:val="722828EB"/>
    <w:rsid w:val="72C055D8"/>
    <w:rsid w:val="74691543"/>
    <w:rsid w:val="74742163"/>
    <w:rsid w:val="754475FF"/>
    <w:rsid w:val="75E959AD"/>
    <w:rsid w:val="7707072D"/>
    <w:rsid w:val="786D7646"/>
    <w:rsid w:val="78E95987"/>
    <w:rsid w:val="793C11AE"/>
    <w:rsid w:val="7A513F90"/>
    <w:rsid w:val="7A6F2CDF"/>
    <w:rsid w:val="7B0336F0"/>
    <w:rsid w:val="7B160A7A"/>
    <w:rsid w:val="7B2D19F1"/>
    <w:rsid w:val="7B3D24AE"/>
    <w:rsid w:val="7BA65465"/>
    <w:rsid w:val="7BF417FA"/>
    <w:rsid w:val="7C4A4876"/>
    <w:rsid w:val="7C6B473E"/>
    <w:rsid w:val="7C9C3B46"/>
    <w:rsid w:val="7CC97171"/>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福州市建筑设计院</Company>
  <Pages>2</Pages>
  <Words>898</Words>
  <Characters>307</Characters>
  <Lines>2</Lines>
  <Paragraphs>2</Paragraphs>
  <TotalTime>2</TotalTime>
  <ScaleCrop>false</ScaleCrop>
  <LinksUpToDate>false</LinksUpToDate>
  <CharactersWithSpaces>1203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Admin</cp:lastModifiedBy>
  <dcterms:modified xsi:type="dcterms:W3CDTF">2022-03-02T02:55:21Z</dcterms:modified>
  <dc:title>福兴经济开发区提升改造项目C1地块</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6F969C2B48194765A7969A029361BA45</vt:lpwstr>
  </property>
</Properties>
</file>