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w:t>
      </w:r>
      <w:r>
        <w:rPr>
          <w:rFonts w:hint="eastAsia" w:ascii="黑体" w:hAnsi="黑体" w:eastAsia="黑体"/>
          <w:bCs/>
          <w:color w:val="000000" w:themeColor="text1"/>
          <w:sz w:val="36"/>
          <w:szCs w:val="36"/>
          <w:lang w:val="en-US" w:eastAsia="zh-CN"/>
          <w14:textFill>
            <w14:solidFill>
              <w14:schemeClr w14:val="tx1"/>
            </w14:solidFill>
          </w14:textFill>
        </w:rPr>
        <w:t>福兴开发区提升改造A1—B地块</w:t>
      </w:r>
      <w:r>
        <w:rPr>
          <w:rFonts w:hint="eastAsia" w:ascii="黑体" w:hAnsi="黑体" w:eastAsia="黑体"/>
          <w:bCs/>
          <w:color w:val="000000" w:themeColor="text1"/>
          <w:sz w:val="36"/>
          <w:szCs w:val="36"/>
          <w14:textFill>
            <w14:solidFill>
              <w14:schemeClr w14:val="tx1"/>
            </w14:solidFill>
          </w14:textFill>
        </w:rPr>
        <w:t>”项目1#楼</w:t>
      </w:r>
    </w:p>
    <w:p>
      <w:pPr>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装配式建筑设计阶段预评价专家论证意见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w:t>
      </w:r>
      <w:r>
        <w:rPr>
          <w:rFonts w:ascii="仿宋_GB2312" w:hAnsi="宋体"/>
          <w:bCs/>
          <w:color w:val="000000" w:themeColor="text1"/>
          <w:sz w:val="28"/>
          <w:szCs w:val="28"/>
          <w14:textFill>
            <w14:solidFill>
              <w14:schemeClr w14:val="tx1"/>
            </w14:solidFill>
          </w14:textFill>
        </w:rPr>
        <w:t>02</w:t>
      </w:r>
      <w:r>
        <w:rPr>
          <w:rFonts w:hint="eastAsia" w:ascii="仿宋_GB2312" w:hAnsi="宋体"/>
          <w:bCs/>
          <w:color w:val="000000" w:themeColor="text1"/>
          <w:sz w:val="28"/>
          <w:szCs w:val="28"/>
          <w:lang w:val="en-US" w:eastAsia="zh-CN"/>
          <w14:textFill>
            <w14:solidFill>
              <w14:schemeClr w14:val="tx1"/>
            </w14:solidFill>
          </w14:textFill>
        </w:rPr>
        <w:t>2</w:t>
      </w:r>
      <w:r>
        <w:rPr>
          <w:rFonts w:hint="eastAsia" w:ascii="仿宋_GB2312" w:hAnsi="宋体"/>
          <w:bCs/>
          <w:color w:val="000000" w:themeColor="text1"/>
          <w:sz w:val="28"/>
          <w:szCs w:val="28"/>
          <w14:textFill>
            <w14:solidFill>
              <w14:schemeClr w14:val="tx1"/>
            </w14:solidFill>
          </w14:textFill>
        </w:rPr>
        <w:t>年</w:t>
      </w:r>
      <w:r>
        <w:rPr>
          <w:rFonts w:hint="eastAsia" w:ascii="仿宋_GB2312" w:hAnsi="宋体"/>
          <w:bCs/>
          <w:color w:val="000000" w:themeColor="text1"/>
          <w:sz w:val="28"/>
          <w:szCs w:val="28"/>
          <w:lang w:val="en-US" w:eastAsia="zh-CN"/>
          <w14:textFill>
            <w14:solidFill>
              <w14:schemeClr w14:val="tx1"/>
            </w14:solidFill>
          </w14:textFill>
        </w:rPr>
        <w:t>04</w:t>
      </w:r>
      <w:r>
        <w:rPr>
          <w:rFonts w:hint="eastAsia" w:ascii="仿宋_GB2312" w:hAnsi="宋体"/>
          <w:bCs/>
          <w:color w:val="000000" w:themeColor="text1"/>
          <w:sz w:val="28"/>
          <w:szCs w:val="28"/>
          <w14:textFill>
            <w14:solidFill>
              <w14:schemeClr w14:val="tx1"/>
            </w14:solidFill>
          </w14:textFill>
        </w:rPr>
        <w:t>月</w:t>
      </w:r>
      <w:r>
        <w:rPr>
          <w:rFonts w:hint="eastAsia" w:ascii="仿宋_GB2312" w:hAnsi="宋体"/>
          <w:bCs/>
          <w:color w:val="000000" w:themeColor="text1"/>
          <w:sz w:val="28"/>
          <w:szCs w:val="28"/>
          <w:lang w:val="en-US" w:eastAsia="zh-CN"/>
          <w14:textFill>
            <w14:solidFill>
              <w14:schemeClr w14:val="tx1"/>
            </w14:solidFill>
          </w14:textFill>
        </w:rPr>
        <w:t>18</w:t>
      </w:r>
      <w:r>
        <w:rPr>
          <w:rFonts w:hint="eastAsia" w:ascii="仿宋_GB2312" w:hAnsi="宋体"/>
          <w:bCs/>
          <w:color w:val="000000" w:themeColor="text1"/>
          <w:sz w:val="28"/>
          <w:szCs w:val="28"/>
          <w14:textFill>
            <w14:solidFill>
              <w14:schemeClr w14:val="tx1"/>
            </w14:solidFill>
          </w14:textFill>
        </w:rPr>
        <w:t>日，</w:t>
      </w:r>
      <w:r>
        <w:rPr>
          <w:rFonts w:hint="eastAsia" w:ascii="仿宋_GB2312" w:hAnsi="宋体" w:cs="Times New Roman"/>
          <w:bCs/>
          <w:color w:val="000000" w:themeColor="text1"/>
          <w:sz w:val="28"/>
          <w:szCs w:val="28"/>
          <w:lang w:val="en-US" w:eastAsia="zh-CN"/>
          <w14:textFill>
            <w14:solidFill>
              <w14:schemeClr w14:val="tx1"/>
            </w14:solidFill>
          </w14:textFill>
        </w:rPr>
        <w:t>福州工业园区开发集团有限公司</w:t>
      </w:r>
      <w:r>
        <w:rPr>
          <w:rFonts w:hint="eastAsia" w:ascii="仿宋_GB2312" w:hAnsi="宋体"/>
          <w:bCs/>
          <w:color w:val="000000" w:themeColor="text1"/>
          <w:sz w:val="28"/>
          <w:szCs w:val="28"/>
          <w14:textFill>
            <w14:solidFill>
              <w14:schemeClr w14:val="tx1"/>
            </w14:solidFill>
          </w14:textFill>
        </w:rPr>
        <w:t>在福州市组织召开“</w:t>
      </w:r>
      <w:r>
        <w:rPr>
          <w:rFonts w:hint="eastAsia" w:ascii="仿宋_GB2312" w:hAnsi="宋体" w:cs="Times New Roman"/>
          <w:bCs/>
          <w:color w:val="000000" w:themeColor="text1"/>
          <w:sz w:val="28"/>
          <w:szCs w:val="28"/>
          <w:lang w:val="en-US" w:eastAsia="zh-CN"/>
          <w14:textFill>
            <w14:solidFill>
              <w14:schemeClr w14:val="tx1"/>
            </w14:solidFill>
          </w14:textFill>
        </w:rPr>
        <w:t>福兴开发区提升改造A1—B地块</w:t>
      </w:r>
      <w:r>
        <w:rPr>
          <w:rFonts w:hint="eastAsia" w:ascii="仿宋_GB2312" w:hAnsi="宋体"/>
          <w:bCs/>
          <w:color w:val="000000" w:themeColor="text1"/>
          <w:sz w:val="28"/>
          <w:szCs w:val="28"/>
          <w14:textFill>
            <w14:solidFill>
              <w14:schemeClr w14:val="tx1"/>
            </w14:solidFill>
          </w14:textFill>
        </w:rPr>
        <w:t>”项目1#楼装配式建筑设计阶段预评价专家论证会，会议由</w:t>
      </w:r>
      <w:r>
        <w:rPr>
          <w:rFonts w:hint="eastAsia" w:ascii="仿宋_GB2312" w:hAnsi="宋体" w:cs="Times New Roman"/>
          <w:bCs/>
          <w:color w:val="000000" w:themeColor="text1"/>
          <w:sz w:val="28"/>
          <w:szCs w:val="28"/>
          <w:lang w:val="en-US" w:eastAsia="zh-CN"/>
          <w14:textFill>
            <w14:solidFill>
              <w14:schemeClr w14:val="tx1"/>
            </w14:solidFill>
          </w14:textFill>
        </w:rPr>
        <w:t>福州工业园区开发集团有限公司主持</w:t>
      </w:r>
      <w:r>
        <w:rPr>
          <w:rFonts w:hint="eastAsia" w:ascii="仿宋_GB2312" w:hAnsi="宋体"/>
          <w:bCs/>
          <w:color w:val="000000" w:themeColor="text1"/>
          <w:sz w:val="28"/>
          <w:szCs w:val="28"/>
          <w14:textFill>
            <w14:solidFill>
              <w14:schemeClr w14:val="tx1"/>
            </w14:solidFill>
          </w14:textFill>
        </w:rPr>
        <w:t>，设计单位、施工图审查单位、评审专家参加了会议。</w:t>
      </w:r>
    </w:p>
    <w:p>
      <w:pPr>
        <w:snapToGrid w:val="0"/>
        <w:spacing w:line="490" w:lineRule="exact"/>
        <w:ind w:firstLine="560" w:firstLineChars="200"/>
        <w:rPr>
          <w:rFonts w:ascii="仿宋_GB2312"/>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w:t>
      </w:r>
      <w:r>
        <w:rPr>
          <w:rFonts w:hint="eastAsia" w:ascii="仿宋_GB2312" w:hAnsi="宋体" w:cs="Times New Roman"/>
          <w:bCs/>
          <w:color w:val="000000" w:themeColor="text1"/>
          <w:sz w:val="28"/>
          <w:szCs w:val="28"/>
          <w:lang w:val="en-US" w:eastAsia="zh-CN"/>
          <w14:textFill>
            <w14:solidFill>
              <w14:schemeClr w14:val="tx1"/>
            </w14:solidFill>
          </w14:textFill>
        </w:rPr>
        <w:t>本项目位于福州市晋安区福兴大道东侧，化工路以南。拟建1栋高层公建、2栋单层配套用房，总建筑面积为59291.32平方米，计入容积率的建筑面积为42296.91平方米。其中</w:t>
      </w:r>
      <w:bookmarkStart w:id="0" w:name="_Hlk59651961"/>
      <w:r>
        <w:rPr>
          <w:rFonts w:hint="eastAsia" w:ascii="仿宋_GB2312" w:hAnsi="宋体" w:cs="Times New Roman"/>
          <w:bCs/>
          <w:color w:val="000000" w:themeColor="text1"/>
          <w:sz w:val="28"/>
          <w:szCs w:val="28"/>
          <w:lang w:val="en-US" w:eastAsia="zh-CN"/>
          <w14:textFill>
            <w14:solidFill>
              <w14:schemeClr w14:val="tx1"/>
            </w14:solidFill>
          </w14:textFill>
        </w:rPr>
        <w:t>1#楼</w:t>
      </w:r>
      <w:bookmarkEnd w:id="0"/>
      <w:r>
        <w:rPr>
          <w:rFonts w:hint="eastAsia" w:ascii="仿宋_GB2312" w:hAnsi="宋体" w:cs="Times New Roman"/>
          <w:bCs/>
          <w:color w:val="000000" w:themeColor="text1"/>
          <w:sz w:val="28"/>
          <w:szCs w:val="28"/>
          <w:lang w:val="en-US" w:eastAsia="zh-CN"/>
          <w14:textFill>
            <w14:solidFill>
              <w14:schemeClr w14:val="tx1"/>
            </w14:solidFill>
          </w14:textFill>
        </w:rPr>
        <w:t>采用预制装配式混凝土结构，装配式楼栋的计容建筑面积为42266.59/42296.91=99.93%&gt;50%，满足福州市人民政府文件榕政综〔2017〕1164号的相关规定要求。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4433" w:type="pct"/>
        <w:jc w:val="center"/>
        <w:tblLayout w:type="autofit"/>
        <w:tblCellMar>
          <w:top w:w="0" w:type="dxa"/>
          <w:left w:w="0" w:type="dxa"/>
          <w:bottom w:w="0" w:type="dxa"/>
          <w:right w:w="0" w:type="dxa"/>
        </w:tblCellMar>
      </w:tblPr>
      <w:tblGrid>
        <w:gridCol w:w="1994"/>
        <w:gridCol w:w="3652"/>
        <w:gridCol w:w="1855"/>
      </w:tblGrid>
      <w:tr>
        <w:tblPrEx>
          <w:tblCellMar>
            <w:top w:w="0" w:type="dxa"/>
            <w:left w:w="0" w:type="dxa"/>
            <w:bottom w:w="0" w:type="dxa"/>
            <w:right w:w="0" w:type="dxa"/>
          </w:tblCellMar>
        </w:tblPrEx>
        <w:trPr>
          <w:trHeight w:val="499" w:hRule="atLeast"/>
          <w:jc w:val="center"/>
        </w:trPr>
        <w:tc>
          <w:tcPr>
            <w:tcW w:w="1329"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1#楼</w:t>
            </w:r>
          </w:p>
        </w:tc>
      </w:tr>
      <w:tr>
        <w:tblPrEx>
          <w:tblCellMar>
            <w:top w:w="0" w:type="dxa"/>
            <w:left w:w="0" w:type="dxa"/>
            <w:bottom w:w="0" w:type="dxa"/>
            <w:right w:w="0" w:type="dxa"/>
          </w:tblCellMar>
        </w:tblPrEx>
        <w:trPr>
          <w:cantSplit/>
          <w:trHeight w:val="788" w:hRule="atLeast"/>
          <w:jc w:val="center"/>
        </w:trPr>
        <w:tc>
          <w:tcPr>
            <w:tcW w:w="1329"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主体结构</w:t>
            </w: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水平预制构件(预制叠合</w:t>
            </w:r>
            <w:r>
              <w:rPr>
                <w:rFonts w:ascii="仿宋" w:hAnsi="仿宋" w:eastAsia="仿宋" w:cs="仿宋"/>
                <w:bCs/>
                <w:color w:val="000000" w:themeColor="text1"/>
                <w:sz w:val="24"/>
                <w14:textFill>
                  <w14:solidFill>
                    <w14:schemeClr w14:val="tx1"/>
                  </w14:solidFill>
                </w14:textFill>
              </w:rPr>
              <w:t>板</w:t>
            </w:r>
            <w:r>
              <w:rPr>
                <w:rFonts w:hint="eastAsia" w:ascii="仿宋" w:hAnsi="仿宋" w:eastAsia="仿宋" w:cs="仿宋"/>
                <w:bCs/>
                <w:color w:val="000000" w:themeColor="text1"/>
                <w:sz w:val="24"/>
                <w14:textFill>
                  <w14:solidFill>
                    <w14:schemeClr w14:val="tx1"/>
                  </w14:solidFill>
                </w14:textFill>
              </w:rPr>
              <w:t>)</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30.1</w:t>
            </w:r>
          </w:p>
        </w:tc>
      </w:tr>
      <w:tr>
        <w:tblPrEx>
          <w:tblCellMar>
            <w:top w:w="0" w:type="dxa"/>
            <w:left w:w="0" w:type="dxa"/>
            <w:bottom w:w="0" w:type="dxa"/>
            <w:right w:w="0" w:type="dxa"/>
          </w:tblCellMar>
        </w:tblPrEx>
        <w:trPr>
          <w:trHeight w:val="518" w:hRule="atLeast"/>
          <w:jc w:val="center"/>
        </w:trPr>
        <w:tc>
          <w:tcPr>
            <w:tcW w:w="1329"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sz w:val="24"/>
              </w:rPr>
            </w:pPr>
            <w:r>
              <w:rPr>
                <w:rFonts w:ascii="仿宋" w:hAnsi="仿宋" w:eastAsia="仿宋" w:cs="仿宋"/>
                <w:bCs/>
                <w:sz w:val="24"/>
              </w:rPr>
              <w:t>0</w:t>
            </w:r>
          </w:p>
        </w:tc>
      </w:tr>
      <w:tr>
        <w:tblPrEx>
          <w:tblCellMar>
            <w:top w:w="0" w:type="dxa"/>
            <w:left w:w="0" w:type="dxa"/>
            <w:bottom w:w="0" w:type="dxa"/>
            <w:right w:w="0" w:type="dxa"/>
          </w:tblCellMar>
        </w:tblPrEx>
        <w:trPr>
          <w:trHeight w:val="425" w:hRule="atLeast"/>
          <w:jc w:val="center"/>
        </w:trPr>
        <w:tc>
          <w:tcPr>
            <w:tcW w:w="1329"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jc w:val="center"/>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sz w:val="24"/>
                <w:lang w:eastAsia="zh-CN"/>
              </w:rPr>
            </w:pPr>
            <w:r>
              <w:rPr>
                <w:rFonts w:hint="eastAsia" w:ascii="仿宋" w:hAnsi="仿宋" w:eastAsia="仿宋" w:cs="仿宋"/>
                <w:bCs/>
                <w:sz w:val="24"/>
                <w:lang w:val="en-US" w:eastAsia="zh-CN"/>
              </w:rPr>
              <w:t>2</w:t>
            </w:r>
          </w:p>
        </w:tc>
      </w:tr>
      <w:tr>
        <w:tblPrEx>
          <w:tblCellMar>
            <w:top w:w="0" w:type="dxa"/>
            <w:left w:w="0" w:type="dxa"/>
            <w:bottom w:w="0" w:type="dxa"/>
            <w:right w:w="0" w:type="dxa"/>
          </w:tblCellMar>
        </w:tblPrEx>
        <w:trPr>
          <w:trHeight w:val="340" w:hRule="atLeast"/>
          <w:jc w:val="center"/>
        </w:trPr>
        <w:tc>
          <w:tcPr>
            <w:tcW w:w="132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围护墙和内隔墙</w:t>
            </w: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sz w:val="24"/>
              </w:rPr>
            </w:pPr>
            <w:r>
              <w:rPr>
                <w:rFonts w:hint="eastAsia" w:ascii="仿宋" w:hAnsi="仿宋" w:eastAsia="仿宋" w:cs="仿宋"/>
                <w:bCs/>
                <w:sz w:val="24"/>
              </w:rPr>
              <w:t>10</w:t>
            </w:r>
          </w:p>
        </w:tc>
      </w:tr>
      <w:tr>
        <w:tblPrEx>
          <w:tblCellMar>
            <w:top w:w="0" w:type="dxa"/>
            <w:left w:w="0" w:type="dxa"/>
            <w:bottom w:w="0" w:type="dxa"/>
            <w:right w:w="0" w:type="dxa"/>
          </w:tblCellMar>
        </w:tblPrEx>
        <w:trPr>
          <w:trHeight w:val="340" w:hRule="atLeast"/>
          <w:jc w:val="center"/>
        </w:trPr>
        <w:tc>
          <w:tcPr>
            <w:tcW w:w="1329" w:type="pct"/>
            <w:vMerge w:val="restart"/>
            <w:tcBorders>
              <w:top w:val="single" w:color="000000" w:sz="8" w:space="0"/>
              <w:left w:val="single" w:color="000000" w:sz="8" w:space="0"/>
              <w:right w:val="single" w:color="000000" w:sz="8" w:space="0"/>
            </w:tcBorders>
            <w:vAlign w:val="center"/>
          </w:tcPr>
          <w:p>
            <w:pPr>
              <w:spacing w:line="480" w:lineRule="auto"/>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sz w:val="24"/>
              </w:rPr>
            </w:pPr>
            <w:r>
              <w:rPr>
                <w:rFonts w:hint="eastAsia" w:ascii="仿宋" w:hAnsi="仿宋" w:eastAsia="仿宋" w:cs="仿宋"/>
                <w:bCs/>
                <w:sz w:val="24"/>
              </w:rPr>
              <w:t>3</w:t>
            </w:r>
          </w:p>
        </w:tc>
      </w:tr>
      <w:tr>
        <w:tblPrEx>
          <w:tblCellMar>
            <w:top w:w="0" w:type="dxa"/>
            <w:left w:w="0" w:type="dxa"/>
            <w:bottom w:w="0" w:type="dxa"/>
            <w:right w:w="0" w:type="dxa"/>
          </w:tblCellMar>
        </w:tblPrEx>
        <w:trPr>
          <w:trHeight w:val="340" w:hRule="atLeast"/>
          <w:jc w:val="center"/>
        </w:trPr>
        <w:tc>
          <w:tcPr>
            <w:tcW w:w="1329"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sz w:val="24"/>
              </w:rPr>
            </w:pPr>
            <w:r>
              <w:rPr>
                <w:rFonts w:hint="eastAsia" w:ascii="仿宋" w:hAnsi="仿宋" w:eastAsia="仿宋" w:cs="仿宋"/>
                <w:bCs/>
                <w:sz w:val="24"/>
              </w:rPr>
              <w:t>3</w:t>
            </w:r>
          </w:p>
        </w:tc>
      </w:tr>
      <w:tr>
        <w:tblPrEx>
          <w:tblCellMar>
            <w:top w:w="0" w:type="dxa"/>
            <w:left w:w="0" w:type="dxa"/>
            <w:bottom w:w="0" w:type="dxa"/>
            <w:right w:w="0" w:type="dxa"/>
          </w:tblCellMar>
        </w:tblPrEx>
        <w:trPr>
          <w:trHeight w:val="340" w:hRule="atLeast"/>
          <w:jc w:val="center"/>
        </w:trPr>
        <w:tc>
          <w:tcPr>
            <w:tcW w:w="1329"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2433"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sz w:val="24"/>
              </w:rPr>
            </w:pPr>
            <w:r>
              <w:rPr>
                <w:rFonts w:hint="eastAsia" w:ascii="仿宋" w:hAnsi="仿宋" w:eastAsia="仿宋" w:cs="仿宋"/>
                <w:bCs/>
                <w:sz w:val="24"/>
              </w:rPr>
              <w:t>2</w:t>
            </w:r>
          </w:p>
        </w:tc>
      </w:tr>
      <w:tr>
        <w:tblPrEx>
          <w:tblCellMar>
            <w:top w:w="0" w:type="dxa"/>
            <w:left w:w="0" w:type="dxa"/>
            <w:bottom w:w="0" w:type="dxa"/>
            <w:right w:w="0" w:type="dxa"/>
          </w:tblCellMar>
        </w:tblPrEx>
        <w:trPr>
          <w:trHeight w:val="340" w:hRule="atLeast"/>
          <w:jc w:val="center"/>
        </w:trPr>
        <w:tc>
          <w:tcPr>
            <w:tcW w:w="3763"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50.1</w:t>
            </w:r>
          </w:p>
        </w:tc>
      </w:tr>
      <w:tr>
        <w:tblPrEx>
          <w:tblCellMar>
            <w:top w:w="0" w:type="dxa"/>
            <w:left w:w="0" w:type="dxa"/>
            <w:bottom w:w="0" w:type="dxa"/>
            <w:right w:w="0" w:type="dxa"/>
          </w:tblCellMar>
        </w:tblPrEx>
        <w:trPr>
          <w:trHeight w:val="340" w:hRule="atLeast"/>
          <w:jc w:val="center"/>
        </w:trPr>
        <w:tc>
          <w:tcPr>
            <w:tcW w:w="3763"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1236"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sz w:val="24"/>
              </w:rPr>
            </w:pPr>
            <w:r>
              <w:rPr>
                <w:rFonts w:hint="eastAsia" w:ascii="仿宋" w:hAnsi="仿宋" w:eastAsia="仿宋" w:cs="仿宋"/>
                <w:bCs/>
                <w:sz w:val="24"/>
              </w:rPr>
              <w:t>5</w:t>
            </w:r>
            <w:r>
              <w:rPr>
                <w:rFonts w:hint="eastAsia" w:ascii="仿宋" w:hAnsi="仿宋" w:eastAsia="仿宋" w:cs="仿宋"/>
                <w:bCs/>
                <w:sz w:val="24"/>
                <w:lang w:val="en-US" w:eastAsia="zh-CN"/>
              </w:rPr>
              <w:t>0</w:t>
            </w:r>
            <w:r>
              <w:rPr>
                <w:rFonts w:hint="eastAsia" w:ascii="仿宋" w:hAnsi="仿宋" w:eastAsia="仿宋" w:cs="仿宋"/>
                <w:bCs/>
                <w:sz w:val="24"/>
              </w:rPr>
              <w:t>%</w:t>
            </w:r>
          </w:p>
        </w:tc>
      </w:tr>
    </w:tbl>
    <w:p>
      <w:pPr>
        <w:spacing w:line="380" w:lineRule="exact"/>
        <w:ind w:firstLine="560" w:firstLineChars="200"/>
        <w:rPr>
          <w:rFonts w:hint="eastAsia" w:ascii="仿宋_GB2312" w:hAnsi="宋体"/>
          <w:bCs/>
          <w:color w:val="000000" w:themeColor="text1"/>
          <w:sz w:val="28"/>
          <w:szCs w:val="28"/>
          <w14:textFill>
            <w14:solidFill>
              <w14:schemeClr w14:val="tx1"/>
            </w14:solidFill>
          </w14:textFill>
        </w:rPr>
      </w:pPr>
    </w:p>
    <w:p>
      <w:pPr>
        <w:spacing w:line="38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该工程施工图设计文件已通过审图机构审查。</w:t>
      </w:r>
    </w:p>
    <w:p>
      <w:pPr>
        <w:spacing w:line="38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审查机构：福</w:t>
      </w:r>
      <w:r>
        <w:rPr>
          <w:rFonts w:hint="eastAsia" w:ascii="仿宋_GB2312" w:hAnsi="宋体"/>
          <w:bCs/>
          <w:color w:val="000000" w:themeColor="text1"/>
          <w:sz w:val="28"/>
          <w:szCs w:val="28"/>
          <w:lang w:val="en-US" w:eastAsia="zh-CN"/>
          <w14:textFill>
            <w14:solidFill>
              <w14:schemeClr w14:val="tx1"/>
            </w14:solidFill>
          </w14:textFill>
        </w:rPr>
        <w:t>州市建设工程</w:t>
      </w:r>
      <w:r>
        <w:rPr>
          <w:rFonts w:hint="eastAsia" w:ascii="仿宋_GB2312" w:hAnsi="宋体"/>
          <w:bCs/>
          <w:color w:val="000000" w:themeColor="text1"/>
          <w:sz w:val="28"/>
          <w:szCs w:val="28"/>
          <w14:textFill>
            <w14:solidFill>
              <w14:schemeClr w14:val="tx1"/>
            </w14:solidFill>
          </w14:textFill>
        </w:rPr>
        <w:t>施工图审查</w:t>
      </w:r>
      <w:r>
        <w:rPr>
          <w:rFonts w:hint="eastAsia" w:ascii="仿宋_GB2312" w:hAnsi="宋体"/>
          <w:bCs/>
          <w:color w:val="000000" w:themeColor="text1"/>
          <w:sz w:val="28"/>
          <w:szCs w:val="28"/>
          <w:lang w:val="en-US" w:eastAsia="zh-CN"/>
          <w14:textFill>
            <w14:solidFill>
              <w14:schemeClr w14:val="tx1"/>
            </w14:solidFill>
          </w14:textFill>
        </w:rPr>
        <w:t>中心</w:t>
      </w:r>
      <w:r>
        <w:rPr>
          <w:rFonts w:hint="eastAsia" w:ascii="仿宋_GB2312" w:hAnsi="宋体"/>
          <w:bCs/>
          <w:color w:val="000000" w:themeColor="text1"/>
          <w:sz w:val="28"/>
          <w:szCs w:val="28"/>
          <w14:textFill>
            <w14:solidFill>
              <w14:schemeClr w14:val="tx1"/>
            </w14:solidFill>
          </w14:textFill>
        </w:rPr>
        <w:t>有限公司，合格证编号: 3501</w:t>
      </w:r>
      <w:r>
        <w:rPr>
          <w:rFonts w:hint="eastAsia" w:ascii="仿宋_GB2312" w:hAnsi="宋体"/>
          <w:bCs/>
          <w:color w:val="000000" w:themeColor="text1"/>
          <w:sz w:val="28"/>
          <w:szCs w:val="28"/>
          <w:lang w:val="en-US" w:eastAsia="zh-CN"/>
          <w14:textFill>
            <w14:solidFill>
              <w14:schemeClr w14:val="tx1"/>
            </w14:solidFill>
          </w14:textFill>
        </w:rPr>
        <w:t>112009080105</w:t>
      </w:r>
      <w:r>
        <w:rPr>
          <w:rFonts w:hint="eastAsia" w:ascii="仿宋_GB2312" w:hAnsi="宋体"/>
          <w:bCs/>
          <w:color w:val="000000" w:themeColor="text1"/>
          <w:sz w:val="28"/>
          <w:szCs w:val="28"/>
          <w14:textFill>
            <w14:solidFill>
              <w14:schemeClr w14:val="tx1"/>
            </w14:solidFill>
          </w14:textFill>
        </w:rPr>
        <w:t>-TX-00</w:t>
      </w:r>
      <w:r>
        <w:rPr>
          <w:rFonts w:hint="eastAsia" w:ascii="仿宋_GB2312" w:hAnsi="宋体"/>
          <w:bCs/>
          <w:color w:val="000000" w:themeColor="text1"/>
          <w:sz w:val="28"/>
          <w:szCs w:val="28"/>
          <w:lang w:val="en-US" w:eastAsia="zh-CN"/>
          <w14:textFill>
            <w14:solidFill>
              <w14:schemeClr w14:val="tx1"/>
            </w14:solidFill>
          </w14:textFill>
        </w:rPr>
        <w:t>3</w:t>
      </w:r>
      <w:r>
        <w:rPr>
          <w:rFonts w:hint="eastAsia" w:ascii="仿宋_GB2312" w:hAnsi="宋体"/>
          <w:bCs/>
          <w:color w:val="000000" w:themeColor="text1"/>
          <w:sz w:val="28"/>
          <w:szCs w:val="28"/>
          <w14:textFill>
            <w14:solidFill>
              <w14:schemeClr w14:val="tx1"/>
            </w14:solidFill>
          </w14:textFill>
        </w:rPr>
        <w:t>。</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与会专家及相关职能部门领导听取了福建博宇建筑设计有限公司及建设单位对该工程的介绍，经会议研究讨论，形成以下意见：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(1) 该工程装配式建造的建筑面积不小于总建筑面积计容部分的50%，符合福州市人民政府文件榕政综〔2017〕1164号文件的相关规定，且满足该项目国有建设用地使用权出让合同（合同编号：3501002020</w:t>
      </w:r>
      <w:r>
        <w:rPr>
          <w:rFonts w:hint="eastAsia" w:ascii="仿宋_GB2312" w:hAnsi="宋体"/>
          <w:bCs/>
          <w:color w:val="000000" w:themeColor="text1"/>
          <w:sz w:val="28"/>
          <w:szCs w:val="28"/>
          <w:lang w:val="en-US" w:eastAsia="zh-CN"/>
          <w14:textFill>
            <w14:solidFill>
              <w14:schemeClr w14:val="tx1"/>
            </w14:solidFill>
          </w14:textFill>
        </w:rPr>
        <w:t>0828</w:t>
      </w:r>
      <w:r>
        <w:rPr>
          <w:rFonts w:hint="eastAsia" w:ascii="仿宋_GB2312" w:hAnsi="宋体"/>
          <w:bCs/>
          <w:color w:val="000000" w:themeColor="text1"/>
          <w:sz w:val="28"/>
          <w:szCs w:val="28"/>
          <w14:textFill>
            <w14:solidFill>
              <w14:schemeClr w14:val="tx1"/>
            </w14:solidFill>
          </w14:textFill>
        </w:rPr>
        <w:t>P</w:t>
      </w:r>
      <w:r>
        <w:rPr>
          <w:rFonts w:hint="eastAsia" w:ascii="仿宋_GB2312" w:hAnsi="宋体"/>
          <w:bCs/>
          <w:color w:val="000000" w:themeColor="text1"/>
          <w:sz w:val="28"/>
          <w:szCs w:val="28"/>
          <w:lang w:val="en-US" w:eastAsia="zh-CN"/>
          <w14:textFill>
            <w14:solidFill>
              <w14:schemeClr w14:val="tx1"/>
            </w14:solidFill>
          </w14:textFill>
        </w:rPr>
        <w:t>06</w:t>
      </w:r>
      <w:r>
        <w:rPr>
          <w:rFonts w:hint="eastAsia" w:ascii="仿宋_GB2312" w:hAnsi="宋体"/>
          <w:bCs/>
          <w:color w:val="000000" w:themeColor="text1"/>
          <w:sz w:val="28"/>
          <w:szCs w:val="28"/>
          <w14:textFill>
            <w14:solidFill>
              <w14:schemeClr w14:val="tx1"/>
            </w14:solidFill>
          </w14:textFill>
        </w:rPr>
        <w:t>0）相关要求。</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 该工程1#楼装配式建筑设计相关资料完整，其主体结构、围护墙和内隔墙、技术创新部分的分值均不低于最低分值要求，单体建筑装配率不低于</w:t>
      </w:r>
      <w:r>
        <w:rPr>
          <w:rFonts w:ascii="仿宋_GB2312" w:hAnsi="宋体"/>
          <w:bCs/>
          <w:color w:val="000000" w:themeColor="text1"/>
          <w:sz w:val="28"/>
          <w:szCs w:val="28"/>
          <w14:textFill>
            <w14:solidFill>
              <w14:schemeClr w14:val="tx1"/>
            </w14:solidFill>
          </w14:textFill>
        </w:rPr>
        <w:t>50</w:t>
      </w:r>
      <w:r>
        <w:rPr>
          <w:rFonts w:hint="eastAsia" w:ascii="仿宋_GB2312" w:hAnsi="宋体"/>
          <w:bCs/>
          <w:color w:val="000000" w:themeColor="text1"/>
          <w:sz w:val="28"/>
          <w:szCs w:val="28"/>
          <w14:textFill>
            <w14:solidFill>
              <w14:schemeClr w14:val="tx1"/>
            </w14:solidFill>
          </w14:textFill>
        </w:rPr>
        <w:t>%，符合《福建省装配式建筑评价管理办法（试行）》（闽建[2</w:t>
      </w:r>
      <w:r>
        <w:rPr>
          <w:rFonts w:ascii="仿宋_GB2312" w:hAnsi="宋体"/>
          <w:bCs/>
          <w:color w:val="000000" w:themeColor="text1"/>
          <w:sz w:val="28"/>
          <w:szCs w:val="28"/>
          <w14:textFill>
            <w14:solidFill>
              <w14:schemeClr w14:val="tx1"/>
            </w14:solidFill>
          </w14:textFill>
        </w:rPr>
        <w:t>020]4</w:t>
      </w:r>
      <w:r>
        <w:rPr>
          <w:rFonts w:hint="eastAsia" w:ascii="仿宋_GB2312" w:hAnsi="宋体"/>
          <w:bCs/>
          <w:color w:val="000000" w:themeColor="text1"/>
          <w:sz w:val="28"/>
          <w:szCs w:val="28"/>
          <w14:textFill>
            <w14:solidFill>
              <w14:schemeClr w14:val="tx1"/>
            </w14:solidFill>
          </w14:textFill>
        </w:rPr>
        <w:t>号）的相关规定，同意该工程1#楼设计阶段评价为装配式建筑。</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p>
    <w:p>
      <w:pPr>
        <w:spacing w:line="490" w:lineRule="exact"/>
        <w:ind w:firstLine="560" w:firstLineChars="200"/>
        <w:rPr>
          <w:rFonts w:ascii="仿宋_GB2312" w:hAnsi="宋体"/>
          <w:bCs/>
          <w:color w:val="000000" w:themeColor="text1"/>
          <w:sz w:val="28"/>
          <w:szCs w:val="28"/>
          <w14:textFill>
            <w14:solidFill>
              <w14:schemeClr w14:val="tx1"/>
            </w14:solidFill>
          </w14:textFill>
        </w:rPr>
      </w:pPr>
      <w:bookmarkStart w:id="2" w:name="_GoBack"/>
      <w:bookmarkEnd w:id="2"/>
    </w:p>
    <w:p>
      <w:pPr>
        <w:spacing w:line="490" w:lineRule="exact"/>
        <w:ind w:firstLine="560" w:firstLineChars="200"/>
        <w:rPr>
          <w:rFonts w:ascii="仿宋_GB2312" w:hAnsi="宋体"/>
          <w:bCs/>
          <w:color w:val="000000" w:themeColor="text1"/>
          <w:sz w:val="28"/>
          <w:szCs w:val="28"/>
          <w14:textFill>
            <w14:solidFill>
              <w14:schemeClr w14:val="tx1"/>
            </w14:solidFill>
          </w14:textFill>
        </w:rPr>
      </w:pPr>
    </w:p>
    <w:p>
      <w:pPr>
        <w:spacing w:line="490" w:lineRule="exact"/>
        <w:ind w:firstLine="560" w:firstLineChars="200"/>
        <w:rPr>
          <w:rFonts w:ascii="仿宋_GB2312" w:hAnsi="宋体"/>
          <w:bCs/>
          <w:color w:val="000000" w:themeColor="text1"/>
          <w:sz w:val="28"/>
          <w:szCs w:val="28"/>
          <w14:textFill>
            <w14:solidFill>
              <w14:schemeClr w14:val="tx1"/>
            </w14:solidFill>
          </w14:textFill>
        </w:rPr>
      </w:pPr>
    </w:p>
    <w:p>
      <w:pPr>
        <w:spacing w:line="490" w:lineRule="exact"/>
        <w:rPr>
          <w:rFonts w:ascii="仿宋_GB2312" w:hAnsi="宋体"/>
          <w:bCs/>
          <w:color w:val="000000" w:themeColor="text1"/>
          <w:sz w:val="28"/>
          <w:szCs w:val="28"/>
          <w14:textFill>
            <w14:solidFill>
              <w14:schemeClr w14:val="tx1"/>
            </w14:solidFill>
          </w14:textFill>
        </w:rPr>
      </w:pPr>
    </w:p>
    <w:p>
      <w:pPr>
        <w:spacing w:line="490" w:lineRule="exact"/>
        <w:rPr>
          <w:rFonts w:hint="eastAsia" w:ascii="仿宋_GB2312" w:hAnsi="宋体"/>
          <w:bCs/>
          <w:color w:val="000000" w:themeColor="text1"/>
          <w:sz w:val="28"/>
          <w:szCs w:val="28"/>
          <w14:textFill>
            <w14:solidFill>
              <w14:schemeClr w14:val="tx1"/>
            </w14:solidFill>
          </w14:textFill>
        </w:rPr>
      </w:pPr>
    </w:p>
    <w:p>
      <w:pPr>
        <w:spacing w:line="500" w:lineRule="exact"/>
        <w:rPr>
          <w:rFonts w:ascii="仿宋_GB2312" w:hAnsi="宋体"/>
          <w:bCs/>
          <w:sz w:val="32"/>
          <w:szCs w:val="32"/>
        </w:rPr>
      </w:pPr>
      <w:r>
        <w:rPr>
          <w:rFonts w:hint="eastAsia" w:ascii="仿宋_GB2312" w:hAnsi="宋体"/>
          <w:bCs/>
          <w:sz w:val="28"/>
          <w:szCs w:val="28"/>
        </w:rPr>
        <w:t>专家名单：</w:t>
      </w:r>
      <w:r>
        <w:rPr>
          <w:rFonts w:hint="eastAsia" w:ascii="仿宋_GB2312" w:hAnsi="宋体"/>
          <w:bCs/>
          <w:sz w:val="32"/>
          <w:szCs w:val="32"/>
        </w:rPr>
        <w:t xml:space="preserve">  </w:t>
      </w:r>
    </w:p>
    <w:p>
      <w:pPr>
        <w:widowControl/>
        <w:spacing w:line="500" w:lineRule="exact"/>
        <w:jc w:val="left"/>
        <w:rPr>
          <w:rFonts w:ascii="仿宋_GB2312" w:hAnsi="宋体"/>
          <w:bCs/>
          <w:sz w:val="28"/>
          <w:szCs w:val="28"/>
        </w:rPr>
      </w:pPr>
      <w:bookmarkStart w:id="1" w:name="_Hlk37145059"/>
      <w:r>
        <w:rPr>
          <w:rFonts w:hint="eastAsia" w:ascii="仿宋_GB2312" w:hAnsi="宋体"/>
          <w:bCs/>
          <w:sz w:val="28"/>
          <w:szCs w:val="28"/>
        </w:rPr>
        <w:t xml:space="preserve">福建省建筑工程技术中心                  </w:t>
      </w:r>
      <w:r>
        <w:rPr>
          <w:rFonts w:hint="eastAsia" w:ascii="仿宋_GB2312" w:hAnsi="宋体"/>
          <w:bCs/>
          <w:sz w:val="28"/>
          <w:szCs w:val="28"/>
          <w:lang w:val="en-US" w:eastAsia="zh-CN"/>
        </w:rPr>
        <w:t xml:space="preserve"> </w:t>
      </w:r>
      <w:r>
        <w:rPr>
          <w:rFonts w:hint="eastAsia" w:ascii="仿宋_GB2312" w:hAnsi="宋体"/>
          <w:bCs/>
          <w:sz w:val="28"/>
          <w:szCs w:val="28"/>
        </w:rPr>
        <w:t>郑卫基  教授级高工</w:t>
      </w:r>
    </w:p>
    <w:p>
      <w:pPr>
        <w:widowControl/>
        <w:spacing w:line="500" w:lineRule="exact"/>
        <w:jc w:val="left"/>
        <w:rPr>
          <w:rFonts w:ascii="仿宋_GB2312" w:hAnsi="宋体"/>
          <w:bCs/>
          <w:sz w:val="28"/>
          <w:szCs w:val="28"/>
        </w:rPr>
      </w:pPr>
    </w:p>
    <w:p>
      <w:pPr>
        <w:widowControl/>
        <w:spacing w:line="500" w:lineRule="exact"/>
        <w:jc w:val="left"/>
        <w:rPr>
          <w:rFonts w:ascii="仿宋_GB2312" w:hAnsi="宋体"/>
          <w:bCs/>
          <w:sz w:val="28"/>
          <w:szCs w:val="28"/>
        </w:rPr>
      </w:pPr>
      <w:r>
        <w:rPr>
          <w:rFonts w:hint="eastAsia" w:ascii="仿宋_GB2312" w:hAnsi="宋体"/>
          <w:bCs/>
          <w:sz w:val="28"/>
          <w:szCs w:val="28"/>
        </w:rPr>
        <w:t xml:space="preserve">福州市建筑设计院有限责任公司            </w:t>
      </w:r>
      <w:r>
        <w:rPr>
          <w:rFonts w:hint="eastAsia" w:ascii="仿宋_GB2312" w:hAnsi="宋体"/>
          <w:bCs/>
          <w:sz w:val="28"/>
          <w:szCs w:val="28"/>
          <w:lang w:val="en-US" w:eastAsia="zh-CN"/>
        </w:rPr>
        <w:t xml:space="preserve"> </w:t>
      </w:r>
      <w:r>
        <w:rPr>
          <w:rFonts w:hint="eastAsia" w:ascii="仿宋_GB2312" w:hAnsi="宋体"/>
          <w:bCs/>
          <w:sz w:val="28"/>
          <w:szCs w:val="28"/>
        </w:rPr>
        <w:t>翁锦华  教授级高工</w:t>
      </w:r>
    </w:p>
    <w:p>
      <w:pPr>
        <w:widowControl/>
        <w:spacing w:line="500" w:lineRule="exact"/>
        <w:jc w:val="left"/>
        <w:rPr>
          <w:rFonts w:ascii="仿宋_GB2312" w:hAnsi="宋体"/>
          <w:bCs/>
          <w:sz w:val="28"/>
          <w:szCs w:val="28"/>
        </w:rPr>
      </w:pPr>
    </w:p>
    <w:bookmarkEnd w:id="1"/>
    <w:p>
      <w:pPr>
        <w:widowControl/>
        <w:spacing w:line="500" w:lineRule="exact"/>
        <w:jc w:val="left"/>
        <w:rPr>
          <w:rFonts w:ascii="仿宋_GB2312" w:hAnsi="宋体"/>
          <w:bCs/>
          <w:color w:val="auto"/>
          <w:sz w:val="28"/>
          <w:szCs w:val="28"/>
        </w:rPr>
      </w:pPr>
      <w:r>
        <w:rPr>
          <w:rFonts w:hint="eastAsia" w:ascii="仿宋_GB2312" w:hAnsi="宋体"/>
          <w:bCs/>
          <w:color w:val="auto"/>
          <w:sz w:val="28"/>
          <w:szCs w:val="28"/>
        </w:rPr>
        <w:t xml:space="preserve">福建建工装配式建筑研究院有限公司 </w:t>
      </w:r>
      <w:r>
        <w:rPr>
          <w:rFonts w:hint="eastAsia" w:ascii="仿宋_GB2312" w:hAnsi="宋体"/>
          <w:bCs/>
          <w:color w:val="auto"/>
          <w:sz w:val="28"/>
          <w:szCs w:val="28"/>
          <w:lang w:val="en-US" w:eastAsia="zh-CN"/>
        </w:rPr>
        <w:t xml:space="preserve">        张雅杰 </w:t>
      </w:r>
      <w:r>
        <w:rPr>
          <w:rFonts w:hint="eastAsia" w:ascii="仿宋_GB2312" w:hAnsi="宋体"/>
          <w:bCs/>
          <w:color w:val="auto"/>
          <w:sz w:val="28"/>
          <w:szCs w:val="28"/>
        </w:rPr>
        <w:t xml:space="preserve"> </w:t>
      </w:r>
      <w:r>
        <w:rPr>
          <w:rFonts w:hint="eastAsia" w:ascii="仿宋_GB2312" w:hAnsi="宋体"/>
          <w:bCs/>
          <w:color w:val="auto"/>
          <w:sz w:val="28"/>
          <w:szCs w:val="28"/>
          <w:lang w:val="en-US" w:eastAsia="zh-CN"/>
        </w:rPr>
        <w:t xml:space="preserve">    </w:t>
      </w:r>
      <w:r>
        <w:rPr>
          <w:rFonts w:hint="eastAsia" w:ascii="仿宋_GB2312" w:hAnsi="宋体"/>
          <w:bCs/>
          <w:color w:val="auto"/>
          <w:sz w:val="28"/>
          <w:szCs w:val="28"/>
        </w:rPr>
        <w:t>工程师</w:t>
      </w:r>
    </w:p>
    <w:p>
      <w:pPr>
        <w:widowControl/>
        <w:spacing w:line="500" w:lineRule="exact"/>
        <w:jc w:val="left"/>
        <w:rPr>
          <w:rFonts w:ascii="仿宋_GB2312" w:hAnsi="宋体"/>
          <w:bCs/>
          <w:sz w:val="28"/>
          <w:szCs w:val="28"/>
        </w:rPr>
      </w:pPr>
    </w:p>
    <w:p>
      <w:pPr>
        <w:widowControl/>
        <w:spacing w:line="500" w:lineRule="exact"/>
        <w:jc w:val="left"/>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                                        </w:t>
      </w:r>
      <w:r>
        <w:rPr>
          <w:rFonts w:hint="eastAsia" w:ascii="仿宋_GB2312" w:hAnsi="宋体"/>
          <w:bCs/>
          <w:color w:val="000000" w:themeColor="text1"/>
          <w:sz w:val="32"/>
          <w:szCs w:val="32"/>
          <w14:textFill>
            <w14:solidFill>
              <w14:schemeClr w14:val="tx1"/>
            </w14:solidFill>
          </w14:textFill>
        </w:rPr>
        <w:t>20</w:t>
      </w:r>
      <w:r>
        <w:rPr>
          <w:rFonts w:ascii="仿宋_GB2312" w:hAnsi="宋体"/>
          <w:bCs/>
          <w:color w:val="000000" w:themeColor="text1"/>
          <w:sz w:val="32"/>
          <w:szCs w:val="32"/>
          <w14:textFill>
            <w14:solidFill>
              <w14:schemeClr w14:val="tx1"/>
            </w14:solidFill>
          </w14:textFill>
        </w:rPr>
        <w:t>2</w:t>
      </w:r>
      <w:r>
        <w:rPr>
          <w:rFonts w:hint="eastAsia" w:ascii="仿宋_GB2312" w:hAnsi="宋体"/>
          <w:bCs/>
          <w:color w:val="000000" w:themeColor="text1"/>
          <w:sz w:val="32"/>
          <w:szCs w:val="32"/>
          <w:lang w:val="en-US" w:eastAsia="zh-CN"/>
          <w14:textFill>
            <w14:solidFill>
              <w14:schemeClr w14:val="tx1"/>
            </w14:solidFill>
          </w14:textFill>
        </w:rPr>
        <w:t>2</w:t>
      </w:r>
      <w:r>
        <w:rPr>
          <w:rFonts w:hint="eastAsia" w:ascii="仿宋_GB2312" w:hAnsi="宋体"/>
          <w:bCs/>
          <w:color w:val="000000" w:themeColor="text1"/>
          <w:sz w:val="32"/>
          <w:szCs w:val="32"/>
          <w14:textFill>
            <w14:solidFill>
              <w14:schemeClr w14:val="tx1"/>
            </w14:solidFill>
          </w14:textFill>
        </w:rPr>
        <w:t xml:space="preserve">年 </w:t>
      </w:r>
      <w:r>
        <w:rPr>
          <w:rFonts w:hint="eastAsia" w:ascii="仿宋_GB2312" w:hAnsi="宋体"/>
          <w:bCs/>
          <w:color w:val="000000" w:themeColor="text1"/>
          <w:sz w:val="32"/>
          <w:szCs w:val="32"/>
          <w:lang w:val="en-US" w:eastAsia="zh-CN"/>
          <w14:textFill>
            <w14:solidFill>
              <w14:schemeClr w14:val="tx1"/>
            </w14:solidFill>
          </w14:textFill>
        </w:rPr>
        <w:t>04</w:t>
      </w:r>
      <w:r>
        <w:rPr>
          <w:rFonts w:hint="eastAsia" w:ascii="仿宋_GB2312" w:hAnsi="宋体"/>
          <w:bCs/>
          <w:color w:val="000000" w:themeColor="text1"/>
          <w:sz w:val="32"/>
          <w:szCs w:val="32"/>
          <w14:textFill>
            <w14:solidFill>
              <w14:schemeClr w14:val="tx1"/>
            </w14:solidFill>
          </w14:textFill>
        </w:rPr>
        <w:t>月</w:t>
      </w:r>
      <w:r>
        <w:rPr>
          <w:rFonts w:hint="eastAsia" w:ascii="仿宋_GB2312" w:hAnsi="宋体"/>
          <w:bCs/>
          <w:color w:val="000000" w:themeColor="text1"/>
          <w:sz w:val="32"/>
          <w:szCs w:val="32"/>
          <w:lang w:val="en-US" w:eastAsia="zh-CN"/>
          <w14:textFill>
            <w14:solidFill>
              <w14:schemeClr w14:val="tx1"/>
            </w14:solidFill>
          </w14:textFill>
        </w:rPr>
        <w:t>18</w:t>
      </w:r>
      <w:r>
        <w:rPr>
          <w:rFonts w:hint="eastAsia" w:ascii="仿宋_GB2312" w:hAnsi="宋体"/>
          <w:bCs/>
          <w:color w:val="000000" w:themeColor="text1"/>
          <w:sz w:val="32"/>
          <w:szCs w:val="32"/>
          <w14:textFill>
            <w14:solidFill>
              <w14:schemeClr w14:val="tx1"/>
            </w14:solidFill>
          </w14:textFill>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5ZGQ2NDhlN2M4YmY0MGYxOTEzYmFlMjg3YTQ0NDAifQ=="/>
  </w:docVars>
  <w:rsids>
    <w:rsidRoot w:val="00E678F1"/>
    <w:rsid w:val="00001B22"/>
    <w:rsid w:val="00010964"/>
    <w:rsid w:val="00014F9D"/>
    <w:rsid w:val="00031127"/>
    <w:rsid w:val="0004477B"/>
    <w:rsid w:val="00046A04"/>
    <w:rsid w:val="00047EB2"/>
    <w:rsid w:val="0007069E"/>
    <w:rsid w:val="00077D10"/>
    <w:rsid w:val="000926B5"/>
    <w:rsid w:val="000D1E2F"/>
    <w:rsid w:val="000D4AAE"/>
    <w:rsid w:val="0010062D"/>
    <w:rsid w:val="00102AA7"/>
    <w:rsid w:val="001033B3"/>
    <w:rsid w:val="0010602A"/>
    <w:rsid w:val="00126E41"/>
    <w:rsid w:val="00132E0C"/>
    <w:rsid w:val="0014787D"/>
    <w:rsid w:val="00163DFC"/>
    <w:rsid w:val="00165380"/>
    <w:rsid w:val="0017310D"/>
    <w:rsid w:val="00183BD2"/>
    <w:rsid w:val="00194C1F"/>
    <w:rsid w:val="00197BBA"/>
    <w:rsid w:val="001C3C5E"/>
    <w:rsid w:val="001D5637"/>
    <w:rsid w:val="001E26E0"/>
    <w:rsid w:val="001E7EF4"/>
    <w:rsid w:val="001F36AF"/>
    <w:rsid w:val="001F6650"/>
    <w:rsid w:val="00201A39"/>
    <w:rsid w:val="002276C6"/>
    <w:rsid w:val="002418B9"/>
    <w:rsid w:val="002564A1"/>
    <w:rsid w:val="00256954"/>
    <w:rsid w:val="00264A07"/>
    <w:rsid w:val="00266F67"/>
    <w:rsid w:val="0027394F"/>
    <w:rsid w:val="00275074"/>
    <w:rsid w:val="00275F6B"/>
    <w:rsid w:val="002F1876"/>
    <w:rsid w:val="002F3645"/>
    <w:rsid w:val="00313EDE"/>
    <w:rsid w:val="00314788"/>
    <w:rsid w:val="00336B4A"/>
    <w:rsid w:val="00386DC6"/>
    <w:rsid w:val="00395FE2"/>
    <w:rsid w:val="003A075E"/>
    <w:rsid w:val="003A67F1"/>
    <w:rsid w:val="003B19E1"/>
    <w:rsid w:val="003C3DA3"/>
    <w:rsid w:val="003C5583"/>
    <w:rsid w:val="003F1080"/>
    <w:rsid w:val="003F29B4"/>
    <w:rsid w:val="00401717"/>
    <w:rsid w:val="00401DC9"/>
    <w:rsid w:val="00405489"/>
    <w:rsid w:val="004134B0"/>
    <w:rsid w:val="0042500C"/>
    <w:rsid w:val="00452851"/>
    <w:rsid w:val="00454C02"/>
    <w:rsid w:val="00470502"/>
    <w:rsid w:val="00470F87"/>
    <w:rsid w:val="00472DE0"/>
    <w:rsid w:val="00473323"/>
    <w:rsid w:val="00497AC5"/>
    <w:rsid w:val="004B0A0F"/>
    <w:rsid w:val="004B319C"/>
    <w:rsid w:val="004C1189"/>
    <w:rsid w:val="004D662F"/>
    <w:rsid w:val="004E0F00"/>
    <w:rsid w:val="00501F00"/>
    <w:rsid w:val="00515EDB"/>
    <w:rsid w:val="00542F98"/>
    <w:rsid w:val="00543AE6"/>
    <w:rsid w:val="00552FBD"/>
    <w:rsid w:val="00566CC9"/>
    <w:rsid w:val="00570225"/>
    <w:rsid w:val="005933D1"/>
    <w:rsid w:val="00593FED"/>
    <w:rsid w:val="005A4799"/>
    <w:rsid w:val="005B1F0A"/>
    <w:rsid w:val="005C24E9"/>
    <w:rsid w:val="005C70D8"/>
    <w:rsid w:val="005D20BF"/>
    <w:rsid w:val="005D5E31"/>
    <w:rsid w:val="005E4295"/>
    <w:rsid w:val="006141A4"/>
    <w:rsid w:val="006207BF"/>
    <w:rsid w:val="00631A3C"/>
    <w:rsid w:val="00634CFA"/>
    <w:rsid w:val="00637807"/>
    <w:rsid w:val="0064431A"/>
    <w:rsid w:val="0065227A"/>
    <w:rsid w:val="00655515"/>
    <w:rsid w:val="006700FC"/>
    <w:rsid w:val="006708B3"/>
    <w:rsid w:val="00672469"/>
    <w:rsid w:val="00683C5D"/>
    <w:rsid w:val="006917C5"/>
    <w:rsid w:val="0069432D"/>
    <w:rsid w:val="006A2D8E"/>
    <w:rsid w:val="006B3BF2"/>
    <w:rsid w:val="006E5018"/>
    <w:rsid w:val="006E72C0"/>
    <w:rsid w:val="00716E46"/>
    <w:rsid w:val="00720B01"/>
    <w:rsid w:val="007244D2"/>
    <w:rsid w:val="00725480"/>
    <w:rsid w:val="00737193"/>
    <w:rsid w:val="00747FAE"/>
    <w:rsid w:val="0076048A"/>
    <w:rsid w:val="00764349"/>
    <w:rsid w:val="007667C3"/>
    <w:rsid w:val="007877E5"/>
    <w:rsid w:val="007913A3"/>
    <w:rsid w:val="007B001B"/>
    <w:rsid w:val="007B100A"/>
    <w:rsid w:val="007B3262"/>
    <w:rsid w:val="007B3F05"/>
    <w:rsid w:val="007C0C62"/>
    <w:rsid w:val="007C41FD"/>
    <w:rsid w:val="007C5C37"/>
    <w:rsid w:val="007C5D22"/>
    <w:rsid w:val="007D542A"/>
    <w:rsid w:val="007F3ADF"/>
    <w:rsid w:val="007F43ED"/>
    <w:rsid w:val="007F7AD2"/>
    <w:rsid w:val="007F7F01"/>
    <w:rsid w:val="00835B9B"/>
    <w:rsid w:val="00835E6E"/>
    <w:rsid w:val="008409ED"/>
    <w:rsid w:val="008453FD"/>
    <w:rsid w:val="00871BF4"/>
    <w:rsid w:val="00881ECF"/>
    <w:rsid w:val="00892760"/>
    <w:rsid w:val="008A5380"/>
    <w:rsid w:val="008C0A7F"/>
    <w:rsid w:val="008C6CDB"/>
    <w:rsid w:val="008D0CE4"/>
    <w:rsid w:val="008D0EBC"/>
    <w:rsid w:val="008D2374"/>
    <w:rsid w:val="008D34F1"/>
    <w:rsid w:val="008E68D6"/>
    <w:rsid w:val="008E7AA0"/>
    <w:rsid w:val="008F443E"/>
    <w:rsid w:val="008F4FA7"/>
    <w:rsid w:val="00951DA6"/>
    <w:rsid w:val="00954523"/>
    <w:rsid w:val="0097603E"/>
    <w:rsid w:val="00977FE9"/>
    <w:rsid w:val="00996017"/>
    <w:rsid w:val="009B0975"/>
    <w:rsid w:val="009B5AEA"/>
    <w:rsid w:val="009C1334"/>
    <w:rsid w:val="009D0729"/>
    <w:rsid w:val="009D74D2"/>
    <w:rsid w:val="009E3C0B"/>
    <w:rsid w:val="009F3F01"/>
    <w:rsid w:val="009F602B"/>
    <w:rsid w:val="00A06890"/>
    <w:rsid w:val="00A127BF"/>
    <w:rsid w:val="00A328CF"/>
    <w:rsid w:val="00A51CE5"/>
    <w:rsid w:val="00A57202"/>
    <w:rsid w:val="00A579A0"/>
    <w:rsid w:val="00A65FA3"/>
    <w:rsid w:val="00A87BC2"/>
    <w:rsid w:val="00A940B7"/>
    <w:rsid w:val="00AC2DF1"/>
    <w:rsid w:val="00AF222E"/>
    <w:rsid w:val="00AF39F0"/>
    <w:rsid w:val="00B00E2C"/>
    <w:rsid w:val="00B161FE"/>
    <w:rsid w:val="00B23714"/>
    <w:rsid w:val="00B331D6"/>
    <w:rsid w:val="00B37156"/>
    <w:rsid w:val="00B46B58"/>
    <w:rsid w:val="00B5072D"/>
    <w:rsid w:val="00B5599C"/>
    <w:rsid w:val="00B55F79"/>
    <w:rsid w:val="00B61F59"/>
    <w:rsid w:val="00B667C5"/>
    <w:rsid w:val="00B67A7F"/>
    <w:rsid w:val="00B71EB3"/>
    <w:rsid w:val="00B82041"/>
    <w:rsid w:val="00B97844"/>
    <w:rsid w:val="00BA5914"/>
    <w:rsid w:val="00BD3D08"/>
    <w:rsid w:val="00BE78A6"/>
    <w:rsid w:val="00BE7F9D"/>
    <w:rsid w:val="00BF7DEB"/>
    <w:rsid w:val="00C04DA3"/>
    <w:rsid w:val="00C06CF4"/>
    <w:rsid w:val="00C10669"/>
    <w:rsid w:val="00C11CF3"/>
    <w:rsid w:val="00C13A83"/>
    <w:rsid w:val="00C31A6B"/>
    <w:rsid w:val="00C33332"/>
    <w:rsid w:val="00C5093B"/>
    <w:rsid w:val="00C518AD"/>
    <w:rsid w:val="00C643A8"/>
    <w:rsid w:val="00C65907"/>
    <w:rsid w:val="00C75967"/>
    <w:rsid w:val="00C9015F"/>
    <w:rsid w:val="00CA6D8C"/>
    <w:rsid w:val="00CB3DB3"/>
    <w:rsid w:val="00CD5E97"/>
    <w:rsid w:val="00CE149E"/>
    <w:rsid w:val="00CE1C0D"/>
    <w:rsid w:val="00CE47E1"/>
    <w:rsid w:val="00CF2E1A"/>
    <w:rsid w:val="00D0565A"/>
    <w:rsid w:val="00D12B36"/>
    <w:rsid w:val="00D206DF"/>
    <w:rsid w:val="00D21431"/>
    <w:rsid w:val="00D4055C"/>
    <w:rsid w:val="00D8147B"/>
    <w:rsid w:val="00D81B07"/>
    <w:rsid w:val="00D863FF"/>
    <w:rsid w:val="00D9255A"/>
    <w:rsid w:val="00D94237"/>
    <w:rsid w:val="00DA012F"/>
    <w:rsid w:val="00DC1D70"/>
    <w:rsid w:val="00DE02C7"/>
    <w:rsid w:val="00DE251E"/>
    <w:rsid w:val="00DF3095"/>
    <w:rsid w:val="00E26CEA"/>
    <w:rsid w:val="00E3475D"/>
    <w:rsid w:val="00E42237"/>
    <w:rsid w:val="00E43326"/>
    <w:rsid w:val="00E53EAD"/>
    <w:rsid w:val="00E65226"/>
    <w:rsid w:val="00E678F1"/>
    <w:rsid w:val="00E73862"/>
    <w:rsid w:val="00E74B2C"/>
    <w:rsid w:val="00E9304E"/>
    <w:rsid w:val="00E97743"/>
    <w:rsid w:val="00EA2F13"/>
    <w:rsid w:val="00EB3C07"/>
    <w:rsid w:val="00EC3F63"/>
    <w:rsid w:val="00EC740C"/>
    <w:rsid w:val="00EE00A5"/>
    <w:rsid w:val="00F06F3C"/>
    <w:rsid w:val="00F1702A"/>
    <w:rsid w:val="00F26D4E"/>
    <w:rsid w:val="00F32BDC"/>
    <w:rsid w:val="00F411CB"/>
    <w:rsid w:val="00F506C3"/>
    <w:rsid w:val="00F52922"/>
    <w:rsid w:val="00F56423"/>
    <w:rsid w:val="00F57DBB"/>
    <w:rsid w:val="00F65F13"/>
    <w:rsid w:val="00F75491"/>
    <w:rsid w:val="00F9673B"/>
    <w:rsid w:val="00FA4649"/>
    <w:rsid w:val="00FB0E74"/>
    <w:rsid w:val="00FB1BD1"/>
    <w:rsid w:val="00FC00F3"/>
    <w:rsid w:val="00FC5B5C"/>
    <w:rsid w:val="00FF57E2"/>
    <w:rsid w:val="00FF5CD4"/>
    <w:rsid w:val="02AD602F"/>
    <w:rsid w:val="02AF00B3"/>
    <w:rsid w:val="02CE7EAB"/>
    <w:rsid w:val="03151AC3"/>
    <w:rsid w:val="06B17687"/>
    <w:rsid w:val="0860640D"/>
    <w:rsid w:val="0A823108"/>
    <w:rsid w:val="0BF36FF7"/>
    <w:rsid w:val="0C364933"/>
    <w:rsid w:val="0C540555"/>
    <w:rsid w:val="0D7350F2"/>
    <w:rsid w:val="0FEB62E3"/>
    <w:rsid w:val="10527066"/>
    <w:rsid w:val="12750247"/>
    <w:rsid w:val="130B3D11"/>
    <w:rsid w:val="147C11FC"/>
    <w:rsid w:val="14B053A7"/>
    <w:rsid w:val="153160E2"/>
    <w:rsid w:val="1539655D"/>
    <w:rsid w:val="15F0183D"/>
    <w:rsid w:val="16940223"/>
    <w:rsid w:val="16BE6BA4"/>
    <w:rsid w:val="16FA0868"/>
    <w:rsid w:val="181025D6"/>
    <w:rsid w:val="184965D9"/>
    <w:rsid w:val="1A4816C0"/>
    <w:rsid w:val="1A4C6BBB"/>
    <w:rsid w:val="1A7F23E7"/>
    <w:rsid w:val="1C471301"/>
    <w:rsid w:val="1DC21729"/>
    <w:rsid w:val="1DCC4B11"/>
    <w:rsid w:val="1FA3511C"/>
    <w:rsid w:val="2114547D"/>
    <w:rsid w:val="222375F7"/>
    <w:rsid w:val="227F5EAB"/>
    <w:rsid w:val="2304780B"/>
    <w:rsid w:val="25297BA2"/>
    <w:rsid w:val="27C5207C"/>
    <w:rsid w:val="288A2A7D"/>
    <w:rsid w:val="29F13054"/>
    <w:rsid w:val="2A763612"/>
    <w:rsid w:val="2E0E3CD2"/>
    <w:rsid w:val="2EB441D0"/>
    <w:rsid w:val="32AA10B9"/>
    <w:rsid w:val="35FF5A86"/>
    <w:rsid w:val="36307512"/>
    <w:rsid w:val="36520928"/>
    <w:rsid w:val="36BE4C85"/>
    <w:rsid w:val="36CC4C76"/>
    <w:rsid w:val="370016E2"/>
    <w:rsid w:val="37E204F5"/>
    <w:rsid w:val="389069D0"/>
    <w:rsid w:val="38A1306C"/>
    <w:rsid w:val="39BA2A24"/>
    <w:rsid w:val="3A957C68"/>
    <w:rsid w:val="3BDA5482"/>
    <w:rsid w:val="3C4A2BDA"/>
    <w:rsid w:val="3DDE15E1"/>
    <w:rsid w:val="3E612243"/>
    <w:rsid w:val="3FF52BA4"/>
    <w:rsid w:val="42984D94"/>
    <w:rsid w:val="42DF3068"/>
    <w:rsid w:val="43B66D3F"/>
    <w:rsid w:val="43CC6C26"/>
    <w:rsid w:val="452C451B"/>
    <w:rsid w:val="463726B1"/>
    <w:rsid w:val="486662B1"/>
    <w:rsid w:val="48DB0A9A"/>
    <w:rsid w:val="495070E8"/>
    <w:rsid w:val="49604A66"/>
    <w:rsid w:val="4BB20089"/>
    <w:rsid w:val="4C1A4DC8"/>
    <w:rsid w:val="4C6B4EF9"/>
    <w:rsid w:val="4D026D32"/>
    <w:rsid w:val="4D2C74CB"/>
    <w:rsid w:val="4E1135C3"/>
    <w:rsid w:val="4E9707A7"/>
    <w:rsid w:val="4FE64EF3"/>
    <w:rsid w:val="504A0E65"/>
    <w:rsid w:val="50675880"/>
    <w:rsid w:val="50C51AFA"/>
    <w:rsid w:val="524842D5"/>
    <w:rsid w:val="52715AB1"/>
    <w:rsid w:val="53083639"/>
    <w:rsid w:val="539A53CE"/>
    <w:rsid w:val="54686BAD"/>
    <w:rsid w:val="579268B6"/>
    <w:rsid w:val="590960CB"/>
    <w:rsid w:val="5A7A1531"/>
    <w:rsid w:val="5B9E0AC4"/>
    <w:rsid w:val="5C040C64"/>
    <w:rsid w:val="5D2141E0"/>
    <w:rsid w:val="5D633F30"/>
    <w:rsid w:val="5E797F0D"/>
    <w:rsid w:val="5F291774"/>
    <w:rsid w:val="5F43625E"/>
    <w:rsid w:val="5F6E2F1E"/>
    <w:rsid w:val="5FED1447"/>
    <w:rsid w:val="60FC3854"/>
    <w:rsid w:val="62064B2C"/>
    <w:rsid w:val="62CA3B2A"/>
    <w:rsid w:val="65462B98"/>
    <w:rsid w:val="655B6449"/>
    <w:rsid w:val="66772FEC"/>
    <w:rsid w:val="66F2063F"/>
    <w:rsid w:val="672D4B1D"/>
    <w:rsid w:val="678F5EDC"/>
    <w:rsid w:val="67D60C4A"/>
    <w:rsid w:val="67EE78CC"/>
    <w:rsid w:val="686B09A7"/>
    <w:rsid w:val="68850F92"/>
    <w:rsid w:val="6B2D53B2"/>
    <w:rsid w:val="6B8926ED"/>
    <w:rsid w:val="6BC6086A"/>
    <w:rsid w:val="6C26114A"/>
    <w:rsid w:val="6E242CF9"/>
    <w:rsid w:val="6E674713"/>
    <w:rsid w:val="70087A0F"/>
    <w:rsid w:val="722828EB"/>
    <w:rsid w:val="72C055D8"/>
    <w:rsid w:val="74742163"/>
    <w:rsid w:val="75E959AD"/>
    <w:rsid w:val="76683F89"/>
    <w:rsid w:val="76DF75CE"/>
    <w:rsid w:val="788F3B6D"/>
    <w:rsid w:val="78E95987"/>
    <w:rsid w:val="793C11AE"/>
    <w:rsid w:val="7A6F2CDF"/>
    <w:rsid w:val="7B0336F0"/>
    <w:rsid w:val="7B2D19F1"/>
    <w:rsid w:val="7B8C2AA1"/>
    <w:rsid w:val="7BA65465"/>
    <w:rsid w:val="7BF417FA"/>
    <w:rsid w:val="7C6B473E"/>
    <w:rsid w:val="7C9C3B46"/>
    <w:rsid w:val="7E3E6B11"/>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link w:val="3"/>
    <w:qFormat/>
    <w:uiPriority w:val="0"/>
    <w:rPr>
      <w:kern w:val="2"/>
      <w:sz w:val="18"/>
      <w:szCs w:val="18"/>
    </w:rPr>
  </w:style>
  <w:style w:type="character" w:customStyle="1" w:styleId="8">
    <w:name w:val="页脚 Char"/>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福州市建筑设计院</Company>
  <Pages>2</Pages>
  <Words>784</Words>
  <Characters>921</Characters>
  <Lines>2</Lines>
  <Paragraphs>2</Paragraphs>
  <TotalTime>2</TotalTime>
  <ScaleCrop>false</ScaleCrop>
  <LinksUpToDate>false</LinksUpToDate>
  <CharactersWithSpaces>1018</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HP</cp:lastModifiedBy>
  <dcterms:modified xsi:type="dcterms:W3CDTF">2022-06-16T10:49:23Z</dcterms:modified>
  <dc:title>福兴经济开发区提升改造项目C1地块</dc:title>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66BC1A8959D645C6ACF60CD3DCDEEB65</vt:lpwstr>
  </property>
</Properties>
</file>