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</w:t>
      </w:r>
      <w:r>
        <w:rPr>
          <w:rFonts w:hint="eastAsia" w:eastAsia="宋体"/>
          <w:b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b/>
          <w:u w:val="single"/>
        </w:rPr>
        <w:t xml:space="preserve"> 3501112206130103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ascii="仿宋" w:hAnsi="仿宋" w:eastAsia="仿宋" w:cs="宋体"/>
          <w:b/>
          <w:u w:val="single"/>
        </w:rPr>
        <w:t>厦坊C40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宋体"/>
          <w:b/>
          <w:u w:val="single"/>
          <w:lang w:val="en-US"/>
        </w:rPr>
        <w:t xml:space="preserve"> 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宋体"/>
          <w:b/>
          <w:u w:val="single"/>
          <w:lang w:eastAsia="zh-CN"/>
        </w:rPr>
        <w:t>福州市厦坊置业有限公司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  </w:t>
      </w:r>
      <w:r>
        <w:rPr>
          <w:rFonts w:hint="default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2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>09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05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52"/>
        <w:gridCol w:w="284"/>
        <w:gridCol w:w="141"/>
        <w:gridCol w:w="511"/>
        <w:gridCol w:w="1377"/>
        <w:gridCol w:w="159"/>
        <w:gridCol w:w="614"/>
        <w:gridCol w:w="174"/>
        <w:gridCol w:w="48"/>
        <w:gridCol w:w="718"/>
        <w:gridCol w:w="227"/>
        <w:gridCol w:w="635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4"/>
              </w:rPr>
              <w:t xml:space="preserve">居住建筑    </w:t>
            </w:r>
            <w:r>
              <w:rPr>
                <w:rFonts w:hint="eastAsia" w:ascii="宋体" w:hAnsi="宋体" w:eastAsia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</w:rPr>
              <w:t>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厦坊C40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福建省福州市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晋安</w:t>
            </w:r>
            <w:r>
              <w:rPr>
                <w:rFonts w:hint="eastAsia" w:ascii="仿宋" w:hAnsi="仿宋" w:eastAsia="仿宋" w:cs="宋体"/>
                <w:sz w:val="24"/>
              </w:rPr>
              <w:t>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3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1-1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#楼</w:t>
            </w:r>
          </w:p>
        </w:tc>
        <w:tc>
          <w:tcPr>
            <w:tcW w:w="936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装配式混合结构建筑</w:t>
            </w: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8176.31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一星装配式建筑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1-2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#楼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8740.26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一星装配式建筑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福州市厦坊置业有限公司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pStyle w:val="19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福州市晋安区鼓山镇福新东路185-1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350014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代建单位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福建华筑工程设计有限公司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福州市鼓楼区软件大道89号福州软件园A区6号楼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层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深化设计单位</w:t>
            </w:r>
          </w:p>
        </w:tc>
        <w:tc>
          <w:tcPr>
            <w:tcW w:w="3952" w:type="dxa"/>
            <w:gridSpan w:val="8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左海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福兴大道38号祥杰智慧产业园1号楼301室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3500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Style w:val="20"/>
                <w:rFonts w:hint="eastAsia"/>
                <w:color w:val="auto"/>
                <w:sz w:val="24"/>
                <w:szCs w:val="24"/>
                <w:lang w:val="en-US" w:eastAsia="zh-Hans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福州市晋安区鼓山镇福新东路185-1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Style w:val="2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监理单位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Style w:val="20"/>
                <w:rFonts w:hint="eastAsia"/>
                <w:color w:val="auto"/>
                <w:sz w:val="24"/>
                <w:szCs w:val="24"/>
                <w:lang w:val="en-US" w:eastAsia="zh-Hans"/>
              </w:rPr>
              <w:t>福建路信交通建设监理有限公司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Style w:val="20"/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0"/>
                <w:rFonts w:hint="default"/>
                <w:color w:val="auto"/>
                <w:sz w:val="24"/>
                <w:szCs w:val="24"/>
                <w:lang w:val="en-US" w:eastAsia="zh-CN"/>
              </w:rPr>
              <w:t>福州市仓山区金山浦上公交枢纽</w:t>
            </w:r>
          </w:p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Style w:val="20"/>
                <w:rFonts w:hint="default"/>
                <w:color w:val="auto"/>
                <w:sz w:val="24"/>
                <w:szCs w:val="24"/>
                <w:lang w:val="en-US" w:eastAsia="zh-CN"/>
              </w:rPr>
              <w:t>场站3号楼5层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部品部件生产单位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左海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福兴大道38号祥杰智慧产业园1号楼301室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3500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06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/01-202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08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01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-202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08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17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08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-202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08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31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01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-202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17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2"/>
                <w:lang w:val="zh-CN" w:eastAsia="zh-CN"/>
              </w:rPr>
            </w:pP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本项目位于福州市晋安区福飞北路东侧。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本工程总建筑面积为20788.06㎡，计入容积率的建筑面积为17094.24㎡，由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2栋高层住宅、2栋单层配套用房和地下室组成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。其中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1-1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#、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1-2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#楼为装配式建筑，装配式建筑的计容面积为16916.57㎡，装配式建筑的比例为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98.96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%。结构体系：装配式混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合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结构。本项目1-1#、1-2#楼预制构件均为预制部分叠合板、预制楼梯、预制阳台挑板、预制叠合板、部分包覆钢-混凝土组合梁、钢梁。1-1#、1-2#楼装配率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均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为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60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%，评价为一星装配式建筑。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本工程施工图设计文件已通过审图机构审查。审查机构：福州建功施工图审查有限公司，合格证编号:3501112206130103-TX-002。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1、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1-1#、1-2#楼预制构件均为预制部分叠合板、预制楼梯、预制阳台挑板、预制叠合板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1-1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8645.72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8770.97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98.6%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40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1-2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8460.93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9317.70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90.8%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40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2、本项目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1-1#、1-2#</w:t>
            </w:r>
            <w:r>
              <w:rPr>
                <w:rFonts w:hint="eastAsia" w:ascii="仿宋_GB2312"/>
                <w:sz w:val="24"/>
                <w:szCs w:val="22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层高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等线" w:hAnsi="等线"/>
                <w:sz w:val="24"/>
                <w:szCs w:val="24"/>
              </w:rPr>
              <w:t>轴线尺寸及楼梯间开间及进深的轴线尺寸均符合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3、本项目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1-1#、1-2#</w:t>
            </w:r>
            <w:r>
              <w:rPr>
                <w:rFonts w:hint="eastAsia" w:ascii="仿宋_GB2312"/>
                <w:sz w:val="24"/>
                <w:szCs w:val="24"/>
              </w:rPr>
              <w:t>楼均有叠合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板轮廓尺寸为</w:t>
            </w:r>
            <w:r>
              <w:rPr>
                <w:rFonts w:hint="default" w:ascii="宋体" w:hAnsi="宋体" w:eastAsia="宋体" w:cs="宋体"/>
                <w:sz w:val="36"/>
                <w:szCs w:val="36"/>
                <w:lang w:val="en-US"/>
              </w:rPr>
              <w:t>2060</w:t>
            </w:r>
            <w:r>
              <w:rPr>
                <w:rFonts w:hint="eastAsia" w:ascii="宋体" w:hAnsi="宋体" w:eastAsia="宋体" w:cs="宋体"/>
                <w:sz w:val="36"/>
                <w:szCs w:val="36"/>
              </w:rPr>
              <w:t>x</w:t>
            </w:r>
            <w:r>
              <w:rPr>
                <w:rFonts w:hint="default" w:ascii="宋体" w:hAnsi="宋体" w:eastAsia="宋体" w:cs="宋体"/>
                <w:sz w:val="36"/>
                <w:szCs w:val="36"/>
                <w:lang w:val="en-US"/>
              </w:rPr>
              <w:t>3505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的预制叠合板总个数为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256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，轮廓尺寸相同的预制构件个数大于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00，得分均为</w:t>
            </w:r>
            <w:r>
              <w:rPr>
                <w:rFonts w:hint="default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/>
                <w:sz w:val="24"/>
                <w:szCs w:val="24"/>
                <w:lang w:val="en-US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4、</w:t>
            </w:r>
            <w:r>
              <w:rPr>
                <w:rFonts w:hint="eastAsia" w:ascii="仿宋_GB2312"/>
                <w:sz w:val="24"/>
                <w:szCs w:val="24"/>
              </w:rPr>
              <w:t>本项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1-1#、1-2#</w:t>
            </w:r>
            <w:r>
              <w:rPr>
                <w:rFonts w:hint="eastAsia" w:ascii="仿宋_GB2312"/>
                <w:sz w:val="24"/>
                <w:szCs w:val="24"/>
                <w:lang w:val="en-US"/>
              </w:rPr>
              <w:t>楼预制混凝土楼梯构件总个数不大于60，得分0分。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1-1</w:t>
            </w:r>
            <w:r>
              <w:rPr>
                <w:rFonts w:hint="eastAsia" w:ascii="仿宋_GB2312"/>
                <w:sz w:val="24"/>
                <w:szCs w:val="24"/>
              </w:rPr>
              <w:t>#楼为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42.0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1-2</w:t>
            </w:r>
            <w:r>
              <w:rPr>
                <w:rFonts w:hint="eastAsia" w:ascii="仿宋_GB2312"/>
                <w:sz w:val="24"/>
                <w:szCs w:val="24"/>
              </w:rPr>
              <w:t>#楼为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42.0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1-1#、1-2#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cs="Times New Roman"/>
                      <w:sz w:val="24"/>
                      <w:szCs w:val="22"/>
                      <w:lang w:val="en-US" w:eastAsia="zh-CN"/>
                    </w:rPr>
                    <w:t>1-1#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5023.25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6137.928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81.84%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cs="Times New Roman"/>
                      <w:sz w:val="24"/>
                      <w:szCs w:val="22"/>
                      <w:lang w:val="en-US" w:eastAsia="zh-CN"/>
                    </w:rPr>
                    <w:t>1-2#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5007.072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6211.59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80.61%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1-1#、1-2#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本项目均未采用全装修，因此此项得分为0分。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《福建省装配式建筑评价管理办法（试行）》规定可得分6分；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1-1#、1-2#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总得分均为6</w:t>
            </w:r>
            <w:r>
              <w:rPr>
                <w:rFonts w:ascii="仿宋_GB2312" w:hAnsi="仿宋_GB2312" w:cs="仿宋_GB2312"/>
                <w:sz w:val="24"/>
                <w:szCs w:val="24"/>
              </w:rPr>
              <w:t>+2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ascii="仿宋_GB2312" w:hAnsi="仿宋_GB2312" w:cs="仿宋_GB2312"/>
                <w:sz w:val="24"/>
                <w:szCs w:val="24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17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eastAsia="仿宋_GB2312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福州市厦坊置业有限公司成立于2022年06月07日。经营范围包括一般项目：住房租赁；非居住房地产租赁；办公设备租赁服务；物业管理；物业服务评估；日用品销售；办公服务；商业综合体管理服务；餐饮管理；酒店管理；停车场服务；信息系统集成服务。（除依法须经批准的项目外，凭营业执照依法自主开展经营活动）许可项目：房地产开发经营。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晋安区福飞北路东侧</w:t>
            </w:r>
            <w:r>
              <w:rPr>
                <w:rFonts w:hint="eastAsia" w:ascii="仿宋_GB2312"/>
                <w:sz w:val="24"/>
                <w:szCs w:val="22"/>
              </w:rPr>
              <w:t>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式</w:t>
            </w:r>
            <w:r>
              <w:rPr>
                <w:rFonts w:hint="eastAsia" w:ascii="仿宋_GB2312" w:hAnsi="仿宋_GB2312" w:cs="仿宋_GB2312"/>
                <w:sz w:val="24"/>
              </w:rPr>
              <w:t>混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合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预制部分叠合板、预制楼梯、预制阳台挑板、预制叠合板</w:t>
            </w:r>
            <w:r>
              <w:rPr>
                <w:rFonts w:hint="eastAsia" w:ascii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钢筋桁架楼承板</w:t>
            </w:r>
            <w:r>
              <w:rPr>
                <w:rFonts w:hint="eastAsia" w:ascii="仿宋_GB2312"/>
                <w:sz w:val="24"/>
                <w:szCs w:val="24"/>
              </w:rPr>
              <w:t>、部分包覆钢-混凝土组合梁、钢梁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预评价为一星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bookmarkStart w:id="0" w:name="_GoBack"/>
            <w:bookmarkEnd w:id="0"/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结论：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ind w:firstLine="2976" w:firstLineChars="992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签字：</w:t>
            </w:r>
          </w:p>
          <w:p>
            <w:pPr>
              <w:spacing w:line="560" w:lineRule="exact"/>
              <w:ind w:firstLine="6900" w:firstLineChars="2300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年   月  日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MTVjZDcxYmRhMWVhZmQ5OTQwODJlZDg3ZmEyNDgifQ=="/>
  </w:docVars>
  <w:rsids>
    <w:rsidRoot w:val="00000000"/>
    <w:rsid w:val="027C26B4"/>
    <w:rsid w:val="03EA356B"/>
    <w:rsid w:val="09A71A62"/>
    <w:rsid w:val="0BEB4771"/>
    <w:rsid w:val="0D2670D7"/>
    <w:rsid w:val="1419679E"/>
    <w:rsid w:val="142D1CF4"/>
    <w:rsid w:val="15DE2356"/>
    <w:rsid w:val="1637436D"/>
    <w:rsid w:val="16872DCD"/>
    <w:rsid w:val="16B301FF"/>
    <w:rsid w:val="173A643E"/>
    <w:rsid w:val="1A0E7548"/>
    <w:rsid w:val="1A863CB0"/>
    <w:rsid w:val="1AB32AB7"/>
    <w:rsid w:val="1B8F5D21"/>
    <w:rsid w:val="1D6759F9"/>
    <w:rsid w:val="1FA375B7"/>
    <w:rsid w:val="2048334F"/>
    <w:rsid w:val="20E31C6D"/>
    <w:rsid w:val="261D5D20"/>
    <w:rsid w:val="29F55728"/>
    <w:rsid w:val="2AA3539D"/>
    <w:rsid w:val="2C573541"/>
    <w:rsid w:val="2D575342"/>
    <w:rsid w:val="2D88161B"/>
    <w:rsid w:val="2DAE631A"/>
    <w:rsid w:val="302B5095"/>
    <w:rsid w:val="31B07A2F"/>
    <w:rsid w:val="34077978"/>
    <w:rsid w:val="340A7D03"/>
    <w:rsid w:val="34DA4D93"/>
    <w:rsid w:val="3C89158B"/>
    <w:rsid w:val="3F033FEC"/>
    <w:rsid w:val="401455C3"/>
    <w:rsid w:val="41016309"/>
    <w:rsid w:val="41E81BB5"/>
    <w:rsid w:val="45A858E1"/>
    <w:rsid w:val="45CC5137"/>
    <w:rsid w:val="46BF791C"/>
    <w:rsid w:val="47001DB9"/>
    <w:rsid w:val="472A7306"/>
    <w:rsid w:val="487C58B5"/>
    <w:rsid w:val="48A56518"/>
    <w:rsid w:val="4DE91F83"/>
    <w:rsid w:val="4F842820"/>
    <w:rsid w:val="51EE6467"/>
    <w:rsid w:val="54481AB1"/>
    <w:rsid w:val="546B2F8E"/>
    <w:rsid w:val="557B3A73"/>
    <w:rsid w:val="5A4F2C57"/>
    <w:rsid w:val="5B611FE0"/>
    <w:rsid w:val="5BE86B34"/>
    <w:rsid w:val="63AB0AF7"/>
    <w:rsid w:val="67652B95"/>
    <w:rsid w:val="69AB633B"/>
    <w:rsid w:val="6A900728"/>
    <w:rsid w:val="6B7651DB"/>
    <w:rsid w:val="6BB03F7E"/>
    <w:rsid w:val="6CA5540F"/>
    <w:rsid w:val="6DB45BD7"/>
    <w:rsid w:val="70A36E38"/>
    <w:rsid w:val="724B410E"/>
    <w:rsid w:val="73B87F2B"/>
    <w:rsid w:val="73D0483F"/>
    <w:rsid w:val="74802012"/>
    <w:rsid w:val="761A2C99"/>
    <w:rsid w:val="7C4E1D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4">
    <w:name w:val="Balloon Text"/>
    <w:basedOn w:val="1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99"/>
    <w:rPr>
      <w:color w:val="333333"/>
      <w:u w:val="none"/>
    </w:rPr>
  </w:style>
  <w:style w:type="character" w:customStyle="1" w:styleId="13">
    <w:name w:val="标题 2 Char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autoRedefine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autoRedefine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NormalCharacter"/>
    <w:autoRedefine/>
    <w:qFormat/>
    <w:uiPriority w:val="0"/>
    <w:rPr>
      <w:rFonts w:eastAsia="仿宋_GB2312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2683</Words>
  <Characters>3264</Characters>
  <Paragraphs>591</Paragraphs>
  <TotalTime>14</TotalTime>
  <ScaleCrop>false</ScaleCrop>
  <LinksUpToDate>false</LinksUpToDate>
  <CharactersWithSpaces>3534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陈弘扬</cp:lastModifiedBy>
  <cp:lastPrinted>2018-11-26T06:40:00Z</cp:lastPrinted>
  <dcterms:modified xsi:type="dcterms:W3CDTF">2023-12-18T07:54:01Z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5973A75A1304443084086BA2AB28D51A</vt:lpwstr>
  </property>
</Properties>
</file>